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18" w:rsidRPr="009B4E4C" w:rsidRDefault="00F12E18" w:rsidP="00F12E18">
      <w:pPr>
        <w:pStyle w:val="Heading1"/>
        <w:spacing w:before="0"/>
        <w:ind w:left="-284"/>
        <w:jc w:val="left"/>
        <w:rPr>
          <w:rFonts w:cs="Times New Roman"/>
          <w:sz w:val="26"/>
          <w:szCs w:val="26"/>
        </w:rPr>
      </w:pPr>
      <w:bookmarkStart w:id="0" w:name="_Toc397005196"/>
      <w:r w:rsidRPr="009B4E4C">
        <w:rPr>
          <w:caps w:val="0"/>
          <w:sz w:val="26"/>
          <w:szCs w:val="26"/>
        </w:rPr>
        <w:t>APPENDICES</w:t>
      </w:r>
      <w:bookmarkEnd w:id="0"/>
    </w:p>
    <w:p w:rsidR="00F12E18" w:rsidRDefault="00F12E18" w:rsidP="00F12E18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7B7853">
        <w:rPr>
          <w:rFonts w:ascii="Times New Roman" w:hAnsi="Times New Roman" w:cs="Times New Roman"/>
          <w:sz w:val="24"/>
        </w:rPr>
        <w:t>Table A</w:t>
      </w:r>
    </w:p>
    <w:p w:rsidR="002D406F" w:rsidRPr="002D406F" w:rsidRDefault="002D406F" w:rsidP="002D40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2D406F">
        <w:rPr>
          <w:rFonts w:ascii="Times New Roman" w:hAnsi="Times New Roman" w:cs="Times New Roman"/>
          <w:i/>
          <w:sz w:val="24"/>
        </w:rPr>
        <w:t>Selected Research</w:t>
      </w:r>
    </w:p>
    <w:tbl>
      <w:tblPr>
        <w:tblStyle w:val="TableGrid"/>
        <w:tblW w:w="8671" w:type="dxa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2434"/>
      </w:tblGrid>
      <w:tr w:rsidR="002D406F" w:rsidRPr="004F52A6" w:rsidTr="00392D13">
        <w:trPr>
          <w:trHeight w:val="441"/>
        </w:trPr>
        <w:tc>
          <w:tcPr>
            <w:tcW w:w="2694" w:type="dxa"/>
            <w:vAlign w:val="center"/>
          </w:tcPr>
          <w:p w:rsidR="002D406F" w:rsidRPr="002773D1" w:rsidRDefault="002D406F" w:rsidP="00392D13">
            <w:pPr>
              <w:spacing w:after="120"/>
              <w:jc w:val="center"/>
              <w:rPr>
                <w:rFonts w:asciiTheme="majorBidi" w:hAnsiTheme="majorBidi"/>
                <w:b/>
                <w:bCs/>
              </w:rPr>
            </w:pPr>
            <w:r w:rsidRPr="002773D1">
              <w:rPr>
                <w:rFonts w:asciiTheme="majorBidi" w:hAnsiTheme="majorBidi"/>
              </w:rPr>
              <w:t>Study</w:t>
            </w:r>
            <w:r>
              <w:rPr>
                <w:rFonts w:asciiTheme="majorBidi" w:hAnsiTheme="majorBidi"/>
              </w:rPr>
              <w:t>/Country</w:t>
            </w:r>
          </w:p>
        </w:tc>
        <w:tc>
          <w:tcPr>
            <w:tcW w:w="1842" w:type="dxa"/>
            <w:vAlign w:val="center"/>
          </w:tcPr>
          <w:p w:rsidR="002D406F" w:rsidRPr="002773D1" w:rsidRDefault="002D406F" w:rsidP="00392D13">
            <w:pPr>
              <w:spacing w:after="120"/>
              <w:jc w:val="center"/>
              <w:rPr>
                <w:rFonts w:asciiTheme="majorBidi" w:hAnsiTheme="majorBidi"/>
                <w:b/>
                <w:bCs/>
              </w:rPr>
            </w:pPr>
            <w:r w:rsidRPr="002773D1">
              <w:rPr>
                <w:rFonts w:asciiTheme="majorBidi" w:hAnsiTheme="majorBidi"/>
              </w:rPr>
              <w:t>Price elasticity</w:t>
            </w:r>
          </w:p>
        </w:tc>
        <w:tc>
          <w:tcPr>
            <w:tcW w:w="1701" w:type="dxa"/>
            <w:vAlign w:val="center"/>
          </w:tcPr>
          <w:p w:rsidR="002D406F" w:rsidRPr="002773D1" w:rsidRDefault="002D406F" w:rsidP="00392D13">
            <w:pPr>
              <w:spacing w:after="120"/>
              <w:jc w:val="center"/>
              <w:rPr>
                <w:rFonts w:asciiTheme="majorBidi" w:hAnsiTheme="majorBidi"/>
                <w:b/>
                <w:bCs/>
              </w:rPr>
            </w:pPr>
            <w:r>
              <w:rPr>
                <w:rFonts w:asciiTheme="majorBidi" w:hAnsiTheme="majorBidi"/>
              </w:rPr>
              <w:t>Income ela</w:t>
            </w:r>
            <w:r w:rsidRPr="002773D1">
              <w:rPr>
                <w:rFonts w:asciiTheme="majorBidi" w:hAnsiTheme="majorBidi"/>
              </w:rPr>
              <w:t>sticity</w:t>
            </w:r>
          </w:p>
        </w:tc>
        <w:tc>
          <w:tcPr>
            <w:tcW w:w="2434" w:type="dxa"/>
            <w:vAlign w:val="center"/>
          </w:tcPr>
          <w:p w:rsidR="002D406F" w:rsidRPr="001C344C" w:rsidRDefault="002D406F" w:rsidP="00392D13">
            <w:pPr>
              <w:spacing w:after="120"/>
              <w:jc w:val="center"/>
              <w:rPr>
                <w:rFonts w:asciiTheme="majorBidi" w:hAnsiTheme="majorBidi"/>
                <w:b/>
                <w:bCs/>
              </w:rPr>
            </w:pPr>
            <w:r>
              <w:rPr>
                <w:rFonts w:asciiTheme="majorBidi" w:hAnsiTheme="majorBidi"/>
              </w:rPr>
              <w:t>Method/data span</w:t>
            </w:r>
          </w:p>
        </w:tc>
      </w:tr>
      <w:tr w:rsidR="002D406F" w:rsidRPr="004F52A6" w:rsidTr="00392D13">
        <w:trPr>
          <w:trHeight w:val="801"/>
        </w:trPr>
        <w:tc>
          <w:tcPr>
            <w:tcW w:w="2694" w:type="dxa"/>
          </w:tcPr>
          <w:p w:rsidR="002D406F" w:rsidRDefault="002D406F" w:rsidP="00392D13">
            <w:pPr>
              <w:spacing w:before="120"/>
              <w:rPr>
                <w:rFonts w:asciiTheme="majorBidi" w:hAnsiTheme="majorBidi"/>
              </w:rPr>
            </w:pPr>
            <w:r w:rsidRPr="00E8765B">
              <w:rPr>
                <w:rFonts w:asciiTheme="majorBidi" w:hAnsiTheme="majorBidi"/>
              </w:rPr>
              <w:t>Blazquez</w:t>
            </w:r>
            <w:r>
              <w:rPr>
                <w:rFonts w:asciiTheme="majorBidi" w:hAnsiTheme="majorBidi"/>
              </w:rPr>
              <w:t xml:space="preserve"> et al. (2013)</w:t>
            </w:r>
            <w:r w:rsidRPr="00E8765B">
              <w:rPr>
                <w:rFonts w:asciiTheme="majorBidi" w:hAnsiTheme="majorBidi"/>
              </w:rPr>
              <w:t xml:space="preserve">, </w:t>
            </w:r>
          </w:p>
          <w:p w:rsidR="002D406F" w:rsidRPr="00927FA7" w:rsidRDefault="002D406F" w:rsidP="00392D13">
            <w:pPr>
              <w:rPr>
                <w:rFonts w:asciiTheme="majorBidi" w:hAnsiTheme="majorBidi"/>
                <w:b/>
              </w:rPr>
            </w:pPr>
            <w:r w:rsidRPr="00E8765B">
              <w:rPr>
                <w:rFonts w:asciiTheme="majorBidi" w:hAnsiTheme="majorBidi"/>
              </w:rPr>
              <w:t>Spain</w:t>
            </w:r>
            <w:r>
              <w:rPr>
                <w:rFonts w:asciiTheme="majorBidi" w:hAnsiTheme="majorBidi"/>
              </w:rPr>
              <w:t xml:space="preserve"> (residential)</w:t>
            </w:r>
          </w:p>
        </w:tc>
        <w:tc>
          <w:tcPr>
            <w:tcW w:w="1842" w:type="dxa"/>
          </w:tcPr>
          <w:p w:rsidR="002D406F" w:rsidRPr="00E8765B" w:rsidRDefault="002D406F" w:rsidP="00392D13">
            <w:p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Short run: –0.07</w:t>
            </w:r>
          </w:p>
          <w:p w:rsidR="002D406F" w:rsidRPr="00E8765B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Long run: –0</w:t>
            </w:r>
            <w:r w:rsidRPr="002773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701" w:type="dxa"/>
          </w:tcPr>
          <w:p w:rsidR="002D406F" w:rsidRPr="00E8765B" w:rsidRDefault="002D406F" w:rsidP="00392D13">
            <w:p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Short run: 0.23</w:t>
            </w:r>
          </w:p>
          <w:p w:rsidR="002D406F" w:rsidRPr="00E8765B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Long run: 0.61</w:t>
            </w:r>
          </w:p>
        </w:tc>
        <w:tc>
          <w:tcPr>
            <w:tcW w:w="2434" w:type="dxa"/>
          </w:tcPr>
          <w:p w:rsidR="002D406F" w:rsidRPr="00E8765B" w:rsidRDefault="002D406F" w:rsidP="00392D13">
            <w:pPr>
              <w:spacing w:before="120"/>
              <w:rPr>
                <w:rFonts w:asciiTheme="majorBidi" w:hAnsiTheme="majorBidi"/>
                <w:bCs/>
              </w:rPr>
            </w:pPr>
            <w:r w:rsidRPr="00E8765B">
              <w:rPr>
                <w:rFonts w:asciiTheme="majorBidi" w:hAnsiTheme="majorBidi"/>
                <w:bCs/>
              </w:rPr>
              <w:t xml:space="preserve">GMM </w:t>
            </w:r>
            <w:r>
              <w:rPr>
                <w:rFonts w:asciiTheme="majorBidi" w:hAnsiTheme="majorBidi"/>
                <w:bCs/>
              </w:rPr>
              <w:t>estimator</w:t>
            </w:r>
            <w:r w:rsidRPr="00E8765B">
              <w:rPr>
                <w:rFonts w:asciiTheme="majorBidi" w:hAnsiTheme="majorBidi"/>
                <w:bCs/>
              </w:rPr>
              <w:t xml:space="preserve">, </w:t>
            </w:r>
            <w:r>
              <w:rPr>
                <w:rFonts w:asciiTheme="majorBidi" w:hAnsiTheme="majorBidi"/>
                <w:bCs/>
              </w:rPr>
              <w:t xml:space="preserve">provincial </w:t>
            </w:r>
            <w:r w:rsidRPr="00E8765B">
              <w:rPr>
                <w:rFonts w:asciiTheme="majorBidi" w:hAnsiTheme="majorBidi"/>
                <w:bCs/>
              </w:rPr>
              <w:t>panel data</w:t>
            </w:r>
            <w:r>
              <w:rPr>
                <w:rFonts w:asciiTheme="majorBidi" w:hAnsiTheme="majorBidi"/>
                <w:bCs/>
              </w:rPr>
              <w:t xml:space="preserve">, 2000–2008 </w:t>
            </w:r>
          </w:p>
        </w:tc>
      </w:tr>
      <w:tr w:rsidR="002D406F" w:rsidRPr="004F52A6" w:rsidTr="00392D13">
        <w:trPr>
          <w:trHeight w:val="501"/>
        </w:trPr>
        <w:tc>
          <w:tcPr>
            <w:tcW w:w="2694" w:type="dxa"/>
          </w:tcPr>
          <w:p w:rsidR="002D406F" w:rsidRPr="00927FA7" w:rsidRDefault="002D406F" w:rsidP="00392D13">
            <w:pPr>
              <w:spacing w:after="120"/>
              <w:rPr>
                <w:rFonts w:asciiTheme="majorBidi" w:hAnsiTheme="majorBidi"/>
                <w:b/>
                <w:bCs/>
              </w:rPr>
            </w:pPr>
            <w:r w:rsidRPr="002773D1">
              <w:rPr>
                <w:rFonts w:asciiTheme="majorBidi" w:hAnsiTheme="majorBidi"/>
              </w:rPr>
              <w:t>Jamil and Ahmad (2011)</w:t>
            </w:r>
            <w:r>
              <w:rPr>
                <w:rFonts w:asciiTheme="majorBidi" w:hAnsiTheme="majorBidi"/>
              </w:rPr>
              <w:t>, Pakistan (aggregate and by sectors)</w:t>
            </w:r>
          </w:p>
        </w:tc>
        <w:tc>
          <w:tcPr>
            <w:tcW w:w="1842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Aggregate:</w:t>
            </w:r>
          </w:p>
          <w:p w:rsidR="002D406F" w:rsidRPr="002773D1" w:rsidRDefault="002D406F" w:rsidP="00392D13">
            <w:pPr>
              <w:ind w:left="176"/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Short run: –0.07</w:t>
            </w:r>
          </w:p>
          <w:p w:rsidR="002D406F" w:rsidRPr="002773D1" w:rsidRDefault="002D406F" w:rsidP="00392D13">
            <w:pPr>
              <w:ind w:left="176"/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Long run: –1.27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Residential:</w:t>
            </w:r>
          </w:p>
          <w:p w:rsidR="002D406F" w:rsidRPr="002773D1" w:rsidRDefault="002D406F" w:rsidP="00392D13">
            <w:pPr>
              <w:ind w:left="176"/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Short run: 0.07</w:t>
            </w:r>
          </w:p>
          <w:p w:rsidR="002D406F" w:rsidRPr="002773D1" w:rsidRDefault="002D406F" w:rsidP="00392D13">
            <w:pPr>
              <w:ind w:left="176"/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Long run: –1.22</w:t>
            </w:r>
          </w:p>
        </w:tc>
        <w:tc>
          <w:tcPr>
            <w:tcW w:w="1701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Aggregate:</w:t>
            </w:r>
          </w:p>
          <w:p w:rsidR="002D406F" w:rsidRPr="002773D1" w:rsidRDefault="002D406F" w:rsidP="00392D13">
            <w:pPr>
              <w:ind w:left="175"/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Short run: 0.32</w:t>
            </w:r>
          </w:p>
          <w:p w:rsidR="002D406F" w:rsidRPr="002773D1" w:rsidRDefault="002D406F" w:rsidP="00392D13">
            <w:pPr>
              <w:ind w:left="175"/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Long run: 1.56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Residential:</w:t>
            </w:r>
          </w:p>
          <w:p w:rsidR="002D406F" w:rsidRPr="002773D1" w:rsidRDefault="002D406F" w:rsidP="00392D13">
            <w:pPr>
              <w:ind w:left="175"/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Short run: 0.49</w:t>
            </w:r>
          </w:p>
          <w:p w:rsidR="002D406F" w:rsidRDefault="002D406F" w:rsidP="00392D13">
            <w:pPr>
              <w:ind w:left="175"/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Long run: 1.97</w:t>
            </w:r>
          </w:p>
          <w:p w:rsidR="002D406F" w:rsidRPr="002773D1" w:rsidRDefault="002D406F" w:rsidP="00392D13">
            <w:pPr>
              <w:ind w:left="175"/>
              <w:rPr>
                <w:rFonts w:asciiTheme="majorBidi" w:hAnsiTheme="majorBidi" w:cstheme="majorBidi"/>
              </w:rPr>
            </w:pPr>
          </w:p>
        </w:tc>
        <w:tc>
          <w:tcPr>
            <w:tcW w:w="2434" w:type="dxa"/>
          </w:tcPr>
          <w:p w:rsidR="002D406F" w:rsidRPr="002773D1" w:rsidRDefault="002D406F" w:rsidP="00392D13">
            <w:pPr>
              <w:spacing w:after="120"/>
              <w:rPr>
                <w:rFonts w:asciiTheme="majorBidi" w:hAnsiTheme="majorBidi"/>
                <w:bCs/>
              </w:rPr>
            </w:pPr>
            <w:r w:rsidRPr="00F70565">
              <w:rPr>
                <w:rFonts w:asciiTheme="majorBidi" w:hAnsiTheme="majorBidi"/>
                <w:bCs/>
              </w:rPr>
              <w:t xml:space="preserve">VAR and ECM, annual time series, </w:t>
            </w:r>
            <w:r>
              <w:rPr>
                <w:rFonts w:asciiTheme="majorBidi" w:hAnsiTheme="majorBidi"/>
                <w:bCs/>
              </w:rPr>
              <w:t>1970–</w:t>
            </w:r>
            <w:r w:rsidRPr="00F70565">
              <w:rPr>
                <w:rFonts w:asciiTheme="majorBidi" w:hAnsiTheme="majorBidi"/>
                <w:bCs/>
              </w:rPr>
              <w:t xml:space="preserve">2005, </w:t>
            </w:r>
          </w:p>
        </w:tc>
      </w:tr>
      <w:tr w:rsidR="002D406F" w:rsidRPr="004F52A6" w:rsidTr="00392D13">
        <w:trPr>
          <w:trHeight w:val="730"/>
        </w:trPr>
        <w:tc>
          <w:tcPr>
            <w:tcW w:w="2694" w:type="dxa"/>
          </w:tcPr>
          <w:p w:rsidR="002D406F" w:rsidRDefault="002D406F" w:rsidP="00392D13">
            <w:pPr>
              <w:rPr>
                <w:rFonts w:asciiTheme="majorBidi" w:hAnsiTheme="majorBidi"/>
              </w:rPr>
            </w:pPr>
            <w:r w:rsidRPr="00927FA7">
              <w:rPr>
                <w:rFonts w:asciiTheme="majorBidi" w:hAnsiTheme="majorBidi"/>
              </w:rPr>
              <w:t>Nakajima</w:t>
            </w:r>
            <w:r>
              <w:rPr>
                <w:rFonts w:asciiTheme="majorBidi" w:hAnsiTheme="majorBidi"/>
              </w:rPr>
              <w:t xml:space="preserve"> (2010), </w:t>
            </w:r>
          </w:p>
          <w:p w:rsidR="002D406F" w:rsidRPr="00927FA7" w:rsidRDefault="002D406F" w:rsidP="00392D13">
            <w:pPr>
              <w:spacing w:after="120"/>
              <w:rPr>
                <w:rFonts w:asciiTheme="majorBidi" w:hAnsiTheme="majorBidi"/>
                <w:b/>
              </w:rPr>
            </w:pPr>
            <w:r>
              <w:rPr>
                <w:rFonts w:asciiTheme="majorBidi" w:hAnsiTheme="majorBidi"/>
              </w:rPr>
              <w:t>Japan (residential)</w:t>
            </w:r>
          </w:p>
        </w:tc>
        <w:tc>
          <w:tcPr>
            <w:tcW w:w="1842" w:type="dxa"/>
          </w:tcPr>
          <w:p w:rsidR="002D406F" w:rsidRPr="00927FA7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–1</w:t>
            </w:r>
            <w:r w:rsidRPr="002773D1">
              <w:rPr>
                <w:rFonts w:asciiTheme="majorBidi" w:hAnsiTheme="majorBidi" w:cstheme="majorBidi"/>
              </w:rPr>
              <w:t>.1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2D406F" w:rsidRPr="00927FA7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Pr="002773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434" w:type="dxa"/>
          </w:tcPr>
          <w:p w:rsidR="002D406F" w:rsidRPr="00837B50" w:rsidRDefault="002D406F" w:rsidP="00392D13">
            <w:pPr>
              <w:spacing w:after="120"/>
              <w:rPr>
                <w:rFonts w:asciiTheme="majorBidi" w:hAnsiTheme="majorBidi"/>
                <w:bCs/>
              </w:rPr>
            </w:pPr>
            <w:r>
              <w:rPr>
                <w:rFonts w:asciiTheme="majorBidi" w:hAnsiTheme="majorBidi" w:cstheme="majorBidi"/>
              </w:rPr>
              <w:t>Group-mean DOLS, annual panel, 1975–</w:t>
            </w:r>
            <w:r w:rsidRPr="002773D1">
              <w:rPr>
                <w:rFonts w:asciiTheme="majorBidi" w:hAnsiTheme="majorBidi" w:cstheme="majorBidi"/>
              </w:rPr>
              <w:t>200</w:t>
            </w: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2D406F" w:rsidRPr="004F52A6" w:rsidTr="00392D13">
        <w:trPr>
          <w:trHeight w:val="723"/>
        </w:trPr>
        <w:tc>
          <w:tcPr>
            <w:tcW w:w="2694" w:type="dxa"/>
          </w:tcPr>
          <w:p w:rsidR="002D406F" w:rsidRPr="005C065A" w:rsidRDefault="002D406F" w:rsidP="00392D13">
            <w:pPr>
              <w:rPr>
                <w:rFonts w:asciiTheme="majorBidi" w:hAnsiTheme="majorBidi"/>
                <w:b/>
                <w:bCs/>
              </w:rPr>
            </w:pPr>
            <w:r w:rsidRPr="002773D1">
              <w:rPr>
                <w:rFonts w:asciiTheme="majorBidi" w:hAnsiTheme="majorBidi"/>
              </w:rPr>
              <w:t>Halicioglu (2009)</w:t>
            </w:r>
            <w:r>
              <w:rPr>
                <w:rFonts w:asciiTheme="majorBidi" w:hAnsiTheme="majorBidi"/>
              </w:rPr>
              <w:t xml:space="preserve">, </w:t>
            </w:r>
            <w:r w:rsidRPr="007475EE">
              <w:rPr>
                <w:rFonts w:asciiTheme="majorBidi" w:hAnsiTheme="majorBidi"/>
              </w:rPr>
              <w:t>Turkey</w:t>
            </w:r>
            <w:r>
              <w:rPr>
                <w:rFonts w:asciiTheme="majorBidi" w:hAnsiTheme="majorBidi"/>
              </w:rPr>
              <w:t xml:space="preserve"> (residential)</w:t>
            </w:r>
          </w:p>
        </w:tc>
        <w:tc>
          <w:tcPr>
            <w:tcW w:w="1842" w:type="dxa"/>
          </w:tcPr>
          <w:p w:rsidR="002D406F" w:rsidRPr="0068169F" w:rsidRDefault="002D406F" w:rsidP="00392D13">
            <w:pPr>
              <w:rPr>
                <w:rFonts w:asciiTheme="majorBidi" w:hAnsiTheme="majorBidi" w:cstheme="majorBidi"/>
              </w:rPr>
            </w:pPr>
            <w:r w:rsidRPr="0068169F">
              <w:rPr>
                <w:rFonts w:asciiTheme="majorBidi" w:hAnsiTheme="majorBidi" w:cstheme="majorBidi"/>
              </w:rPr>
              <w:t>Short run: –0.33</w:t>
            </w:r>
          </w:p>
          <w:p w:rsidR="002D406F" w:rsidRPr="0068169F" w:rsidRDefault="002D406F" w:rsidP="00392D13">
            <w:pPr>
              <w:rPr>
                <w:rFonts w:asciiTheme="majorBidi" w:hAnsiTheme="majorBidi" w:cstheme="majorBidi"/>
              </w:rPr>
            </w:pPr>
            <w:r w:rsidRPr="0068169F">
              <w:rPr>
                <w:rFonts w:asciiTheme="majorBidi" w:hAnsiTheme="majorBidi" w:cstheme="majorBidi"/>
              </w:rPr>
              <w:t>Long run: –0.52</w:t>
            </w:r>
          </w:p>
        </w:tc>
        <w:tc>
          <w:tcPr>
            <w:tcW w:w="1701" w:type="dxa"/>
          </w:tcPr>
          <w:p w:rsidR="002D406F" w:rsidRPr="0068169F" w:rsidRDefault="002D406F" w:rsidP="00392D13">
            <w:pPr>
              <w:rPr>
                <w:rFonts w:asciiTheme="majorBidi" w:hAnsiTheme="majorBidi" w:cstheme="majorBidi"/>
              </w:rPr>
            </w:pPr>
            <w:r w:rsidRPr="0068169F">
              <w:rPr>
                <w:rFonts w:asciiTheme="majorBidi" w:hAnsiTheme="majorBidi" w:cstheme="majorBidi"/>
              </w:rPr>
              <w:t>Short run: 0.44</w:t>
            </w:r>
          </w:p>
          <w:p w:rsidR="002D406F" w:rsidRPr="0068169F" w:rsidRDefault="002D406F" w:rsidP="00392D13">
            <w:pPr>
              <w:rPr>
                <w:rFonts w:asciiTheme="majorBidi" w:hAnsiTheme="majorBidi" w:cstheme="majorBidi"/>
              </w:rPr>
            </w:pPr>
            <w:r w:rsidRPr="0068169F">
              <w:rPr>
                <w:rFonts w:asciiTheme="majorBidi" w:hAnsiTheme="majorBidi" w:cstheme="majorBidi"/>
              </w:rPr>
              <w:t>Long run: 0.70</w:t>
            </w:r>
          </w:p>
        </w:tc>
        <w:tc>
          <w:tcPr>
            <w:tcW w:w="2434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ARDL, annual time series, </w:t>
            </w:r>
            <w:r w:rsidRPr="002773D1">
              <w:rPr>
                <w:rFonts w:asciiTheme="majorBidi" w:hAnsiTheme="majorBidi" w:cstheme="majorBidi"/>
              </w:rPr>
              <w:t>1968–2005</w:t>
            </w:r>
          </w:p>
        </w:tc>
      </w:tr>
      <w:tr w:rsidR="002D406F" w:rsidRPr="004F52A6" w:rsidTr="00392D13">
        <w:trPr>
          <w:trHeight w:val="622"/>
        </w:trPr>
        <w:tc>
          <w:tcPr>
            <w:tcW w:w="2694" w:type="dxa"/>
          </w:tcPr>
          <w:p w:rsidR="002D406F" w:rsidRDefault="002D406F" w:rsidP="00392D13">
            <w:pPr>
              <w:rPr>
                <w:rFonts w:asciiTheme="majorBidi" w:hAnsiTheme="majorBidi"/>
              </w:rPr>
            </w:pPr>
            <w:r w:rsidRPr="002773D1">
              <w:rPr>
                <w:rFonts w:asciiTheme="majorBidi" w:hAnsiTheme="majorBidi"/>
              </w:rPr>
              <w:t>Amusa et al. (2009)</w:t>
            </w:r>
            <w:r>
              <w:rPr>
                <w:rFonts w:asciiTheme="majorBidi" w:hAnsiTheme="majorBidi"/>
              </w:rPr>
              <w:t>,</w:t>
            </w:r>
            <w:r>
              <w:t xml:space="preserve"> </w:t>
            </w:r>
            <w:r w:rsidRPr="007475EE">
              <w:rPr>
                <w:rFonts w:asciiTheme="majorBidi" w:hAnsiTheme="majorBidi"/>
              </w:rPr>
              <w:t>South Africa</w:t>
            </w:r>
            <w:r>
              <w:rPr>
                <w:rFonts w:asciiTheme="majorBidi" w:hAnsiTheme="majorBidi"/>
              </w:rPr>
              <w:t xml:space="preserve"> (aggregate)</w:t>
            </w:r>
          </w:p>
          <w:p w:rsidR="002D406F" w:rsidRPr="003D07F9" w:rsidRDefault="002D406F" w:rsidP="00392D13">
            <w:pPr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842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Short run: 0.04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Long run: 0.30</w:t>
            </w:r>
          </w:p>
        </w:tc>
        <w:tc>
          <w:tcPr>
            <w:tcW w:w="1701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Short run: 0.22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Long run: 1.67</w:t>
            </w:r>
          </w:p>
        </w:tc>
        <w:tc>
          <w:tcPr>
            <w:tcW w:w="2434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ARDL, annual time series, </w:t>
            </w:r>
            <w:r w:rsidRPr="002773D1">
              <w:rPr>
                <w:rFonts w:asciiTheme="majorBidi" w:hAnsiTheme="majorBidi" w:cstheme="majorBidi"/>
              </w:rPr>
              <w:t>1960</w:t>
            </w:r>
            <w:r>
              <w:rPr>
                <w:rFonts w:asciiTheme="majorBidi" w:hAnsiTheme="majorBidi" w:cstheme="majorBidi"/>
              </w:rPr>
              <w:t>–</w:t>
            </w:r>
            <w:r w:rsidRPr="002773D1">
              <w:rPr>
                <w:rFonts w:asciiTheme="majorBidi" w:hAnsiTheme="majorBidi" w:cstheme="majorBidi"/>
              </w:rPr>
              <w:t>2007</w:t>
            </w:r>
          </w:p>
        </w:tc>
      </w:tr>
      <w:tr w:rsidR="002D406F" w:rsidRPr="004F52A6" w:rsidTr="00392D13">
        <w:trPr>
          <w:trHeight w:val="622"/>
        </w:trPr>
        <w:tc>
          <w:tcPr>
            <w:tcW w:w="2694" w:type="dxa"/>
          </w:tcPr>
          <w:p w:rsidR="002D406F" w:rsidRDefault="002D406F" w:rsidP="00392D13">
            <w:pPr>
              <w:rPr>
                <w:rFonts w:asciiTheme="majorBidi" w:hAnsiTheme="majorBidi"/>
              </w:rPr>
            </w:pPr>
            <w:r w:rsidRPr="005635C1">
              <w:rPr>
                <w:rFonts w:asciiTheme="majorBidi" w:hAnsiTheme="majorBidi"/>
              </w:rPr>
              <w:t>Derigiades and Tsoulfidis (2008)</w:t>
            </w:r>
            <w:r>
              <w:rPr>
                <w:rFonts w:asciiTheme="majorBidi" w:hAnsiTheme="majorBidi"/>
              </w:rPr>
              <w:t>, USA (residential)</w:t>
            </w:r>
          </w:p>
          <w:p w:rsidR="002D406F" w:rsidRPr="005635C1" w:rsidRDefault="002D406F" w:rsidP="00392D13">
            <w:pPr>
              <w:rPr>
                <w:rFonts w:asciiTheme="majorBidi" w:hAnsiTheme="majorBidi"/>
                <w:b/>
              </w:rPr>
            </w:pPr>
          </w:p>
        </w:tc>
        <w:tc>
          <w:tcPr>
            <w:tcW w:w="1842" w:type="dxa"/>
          </w:tcPr>
          <w:p w:rsidR="002D406F" w:rsidRPr="00AB0177" w:rsidRDefault="002D406F" w:rsidP="00392D13">
            <w:pPr>
              <w:rPr>
                <w:rFonts w:asciiTheme="majorBidi" w:hAnsiTheme="majorBidi" w:cstheme="majorBidi"/>
              </w:rPr>
            </w:pPr>
            <w:r w:rsidRPr="00AB0177">
              <w:rPr>
                <w:rFonts w:asciiTheme="majorBidi" w:hAnsiTheme="majorBidi" w:cstheme="majorBidi"/>
              </w:rPr>
              <w:t>Short run: –0.39</w:t>
            </w:r>
          </w:p>
          <w:p w:rsidR="002D406F" w:rsidRPr="00AB0177" w:rsidRDefault="002D406F" w:rsidP="00392D13">
            <w:pPr>
              <w:rPr>
                <w:rFonts w:asciiTheme="majorBidi" w:hAnsiTheme="majorBidi" w:cstheme="majorBidi"/>
              </w:rPr>
            </w:pPr>
            <w:r w:rsidRPr="00AB0177">
              <w:rPr>
                <w:rFonts w:asciiTheme="majorBidi" w:hAnsiTheme="majorBidi" w:cstheme="majorBidi"/>
              </w:rPr>
              <w:t>Long run: –1.06</w:t>
            </w:r>
          </w:p>
        </w:tc>
        <w:tc>
          <w:tcPr>
            <w:tcW w:w="1701" w:type="dxa"/>
          </w:tcPr>
          <w:p w:rsidR="002D406F" w:rsidRPr="00AB0177" w:rsidRDefault="002D406F" w:rsidP="00392D13">
            <w:pPr>
              <w:rPr>
                <w:rFonts w:asciiTheme="majorBidi" w:hAnsiTheme="majorBidi" w:cstheme="majorBidi"/>
              </w:rPr>
            </w:pPr>
            <w:r w:rsidRPr="00AB0177">
              <w:rPr>
                <w:rFonts w:asciiTheme="majorBidi" w:hAnsiTheme="majorBidi" w:cstheme="majorBidi"/>
              </w:rPr>
              <w:t>Short run: 0.10</w:t>
            </w:r>
          </w:p>
          <w:p w:rsidR="002D406F" w:rsidRPr="00AB0177" w:rsidRDefault="002D406F" w:rsidP="00392D13">
            <w:pPr>
              <w:rPr>
                <w:rFonts w:asciiTheme="majorBidi" w:hAnsiTheme="majorBidi" w:cstheme="majorBidi"/>
              </w:rPr>
            </w:pPr>
            <w:r w:rsidRPr="00AB0177">
              <w:rPr>
                <w:rFonts w:asciiTheme="majorBidi" w:hAnsiTheme="majorBidi" w:cstheme="majorBidi"/>
              </w:rPr>
              <w:t>Long run: 0.27</w:t>
            </w:r>
          </w:p>
        </w:tc>
        <w:tc>
          <w:tcPr>
            <w:tcW w:w="2434" w:type="dxa"/>
          </w:tcPr>
          <w:p w:rsidR="002D406F" w:rsidRPr="005635C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ARDL, annual time series, 1965–2006</w:t>
            </w:r>
          </w:p>
        </w:tc>
      </w:tr>
      <w:tr w:rsidR="002D406F" w:rsidRPr="004F52A6" w:rsidTr="00392D13">
        <w:trPr>
          <w:trHeight w:val="874"/>
        </w:trPr>
        <w:tc>
          <w:tcPr>
            <w:tcW w:w="2694" w:type="dxa"/>
          </w:tcPr>
          <w:p w:rsidR="002D406F" w:rsidRPr="005635C1" w:rsidRDefault="002D406F" w:rsidP="00392D13">
            <w:pPr>
              <w:rPr>
                <w:rFonts w:asciiTheme="majorBidi" w:hAnsiTheme="majorBidi"/>
                <w:b/>
                <w:bCs/>
              </w:rPr>
            </w:pPr>
            <w:r w:rsidRPr="002773D1">
              <w:rPr>
                <w:rFonts w:asciiTheme="majorBidi" w:hAnsiTheme="majorBidi"/>
              </w:rPr>
              <w:t>De Vita et al. (2006)</w:t>
            </w:r>
            <w:r>
              <w:rPr>
                <w:rFonts w:asciiTheme="majorBidi" w:hAnsiTheme="majorBidi"/>
              </w:rPr>
              <w:t>,</w:t>
            </w:r>
            <w:r>
              <w:t xml:space="preserve"> </w:t>
            </w:r>
            <w:r w:rsidRPr="007475EE">
              <w:rPr>
                <w:rFonts w:asciiTheme="majorBidi" w:hAnsiTheme="majorBidi"/>
              </w:rPr>
              <w:t>Namibia</w:t>
            </w:r>
            <w:r>
              <w:rPr>
                <w:rFonts w:asciiTheme="majorBidi" w:hAnsiTheme="majorBidi"/>
              </w:rPr>
              <w:t xml:space="preserve"> (aggregate)</w:t>
            </w:r>
          </w:p>
        </w:tc>
        <w:tc>
          <w:tcPr>
            <w:tcW w:w="1842" w:type="dxa"/>
          </w:tcPr>
          <w:p w:rsidR="002D406F" w:rsidRPr="000168C5" w:rsidRDefault="002D406F" w:rsidP="00392D13">
            <w:pPr>
              <w:rPr>
                <w:rFonts w:asciiTheme="majorBidi" w:hAnsiTheme="majorBidi" w:cstheme="majorBidi"/>
              </w:rPr>
            </w:pPr>
            <w:r w:rsidRPr="000168C5">
              <w:rPr>
                <w:rFonts w:asciiTheme="majorBidi" w:hAnsiTheme="majorBidi" w:cstheme="majorBidi"/>
              </w:rPr>
              <w:t>Long run: –0.298</w:t>
            </w:r>
          </w:p>
        </w:tc>
        <w:tc>
          <w:tcPr>
            <w:tcW w:w="1701" w:type="dxa"/>
          </w:tcPr>
          <w:p w:rsidR="002D406F" w:rsidRPr="000168C5" w:rsidRDefault="002D406F" w:rsidP="00392D13">
            <w:pPr>
              <w:rPr>
                <w:rFonts w:asciiTheme="majorBidi" w:hAnsiTheme="majorBidi" w:cstheme="majorBidi"/>
              </w:rPr>
            </w:pPr>
            <w:r w:rsidRPr="000168C5">
              <w:rPr>
                <w:rFonts w:asciiTheme="majorBidi" w:hAnsiTheme="majorBidi" w:cstheme="majorBidi"/>
              </w:rPr>
              <w:t>Long run: 0.589</w:t>
            </w:r>
          </w:p>
        </w:tc>
        <w:tc>
          <w:tcPr>
            <w:tcW w:w="2434" w:type="dxa"/>
          </w:tcPr>
          <w:p w:rsidR="002D406F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Cointegration method, quarterly time series, </w:t>
            </w:r>
            <w:r w:rsidRPr="002773D1">
              <w:rPr>
                <w:rFonts w:asciiTheme="majorBidi" w:hAnsiTheme="majorBidi" w:cstheme="majorBidi"/>
              </w:rPr>
              <w:t>1980</w:t>
            </w:r>
            <w:r>
              <w:rPr>
                <w:rFonts w:asciiTheme="majorBidi" w:hAnsiTheme="majorBidi" w:cstheme="majorBidi"/>
              </w:rPr>
              <w:t>–</w:t>
            </w:r>
            <w:r w:rsidRPr="002773D1">
              <w:rPr>
                <w:rFonts w:asciiTheme="majorBidi" w:hAnsiTheme="majorBidi" w:cstheme="majorBidi"/>
              </w:rPr>
              <w:t>2002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</w:p>
        </w:tc>
      </w:tr>
      <w:tr w:rsidR="002D406F" w:rsidRPr="004F52A6" w:rsidTr="00392D13">
        <w:trPr>
          <w:trHeight w:val="1117"/>
        </w:trPr>
        <w:tc>
          <w:tcPr>
            <w:tcW w:w="2694" w:type="dxa"/>
          </w:tcPr>
          <w:p w:rsidR="002D406F" w:rsidRDefault="002D406F" w:rsidP="00392D13">
            <w:pPr>
              <w:rPr>
                <w:rFonts w:asciiTheme="majorBidi" w:hAnsiTheme="majorBidi"/>
              </w:rPr>
            </w:pPr>
            <w:r w:rsidRPr="002773D1">
              <w:rPr>
                <w:rFonts w:asciiTheme="majorBidi" w:hAnsiTheme="majorBidi"/>
              </w:rPr>
              <w:t>Narayan and Smyth (2005)</w:t>
            </w:r>
            <w:r>
              <w:rPr>
                <w:rFonts w:asciiTheme="majorBidi" w:hAnsiTheme="majorBidi"/>
              </w:rPr>
              <w:t>,</w:t>
            </w:r>
            <w:r>
              <w:t xml:space="preserve"> </w:t>
            </w:r>
            <w:r w:rsidRPr="007475EE">
              <w:rPr>
                <w:rFonts w:asciiTheme="majorBidi" w:hAnsiTheme="majorBidi"/>
              </w:rPr>
              <w:t>Australia</w:t>
            </w:r>
            <w:r>
              <w:rPr>
                <w:rFonts w:asciiTheme="majorBidi" w:hAnsiTheme="majorBidi"/>
              </w:rPr>
              <w:t xml:space="preserve"> (residential)</w:t>
            </w:r>
          </w:p>
          <w:p w:rsidR="002D406F" w:rsidRPr="005C065A" w:rsidRDefault="002D406F" w:rsidP="00392D13">
            <w:pPr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842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 xml:space="preserve">Short run: –0.26 </w:t>
            </w:r>
          </w:p>
          <w:p w:rsidR="002D406F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 xml:space="preserve">Long run: </w:t>
            </w:r>
          </w:p>
          <w:p w:rsidR="002D406F" w:rsidRPr="00837B50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2773D1">
              <w:rPr>
                <w:rFonts w:asciiTheme="majorBidi" w:hAnsiTheme="majorBidi" w:cstheme="majorBidi"/>
              </w:rPr>
              <w:t xml:space="preserve">–0.54 </w:t>
            </w:r>
            <w:r>
              <w:rPr>
                <w:rFonts w:asciiTheme="majorBidi" w:hAnsiTheme="majorBidi" w:cstheme="majorBidi"/>
              </w:rPr>
              <w:t xml:space="preserve">to </w:t>
            </w:r>
            <w:r w:rsidRPr="002773D1"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>0.47</w:t>
            </w:r>
          </w:p>
        </w:tc>
        <w:tc>
          <w:tcPr>
            <w:tcW w:w="1701" w:type="dxa"/>
          </w:tcPr>
          <w:p w:rsidR="002D406F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 xml:space="preserve">Short run: 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0.01 to </w:t>
            </w:r>
            <w:r w:rsidRPr="002773D1">
              <w:rPr>
                <w:rFonts w:asciiTheme="majorBidi" w:hAnsiTheme="majorBidi" w:cstheme="majorBidi"/>
              </w:rPr>
              <w:t>0.04</w:t>
            </w:r>
          </w:p>
          <w:p w:rsidR="002D406F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 xml:space="preserve">Long run: </w:t>
            </w:r>
          </w:p>
          <w:p w:rsidR="002D406F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2773D1">
              <w:rPr>
                <w:rFonts w:asciiTheme="majorBidi" w:hAnsiTheme="majorBidi" w:cstheme="majorBidi"/>
              </w:rPr>
              <w:t>0.32–0.41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34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Cointegration and error correction, annual time series, 1969–</w:t>
            </w:r>
            <w:r w:rsidRPr="002773D1">
              <w:rPr>
                <w:rFonts w:asciiTheme="majorBidi" w:hAnsiTheme="majorBidi" w:cstheme="majorBidi"/>
              </w:rPr>
              <w:t>2000</w:t>
            </w:r>
          </w:p>
        </w:tc>
      </w:tr>
      <w:tr w:rsidR="002D406F" w:rsidRPr="004F52A6" w:rsidTr="00392D13">
        <w:trPr>
          <w:trHeight w:val="622"/>
        </w:trPr>
        <w:tc>
          <w:tcPr>
            <w:tcW w:w="2694" w:type="dxa"/>
          </w:tcPr>
          <w:p w:rsidR="002D406F" w:rsidRPr="005C065A" w:rsidRDefault="002D406F" w:rsidP="00392D13">
            <w:pPr>
              <w:rPr>
                <w:rFonts w:asciiTheme="majorBidi" w:hAnsiTheme="majorBidi"/>
                <w:b/>
                <w:bCs/>
              </w:rPr>
            </w:pPr>
            <w:r w:rsidRPr="002773D1">
              <w:rPr>
                <w:rFonts w:asciiTheme="majorBidi" w:hAnsiTheme="majorBidi"/>
              </w:rPr>
              <w:t>Filippini and Pachauri (2004)</w:t>
            </w:r>
            <w:r>
              <w:rPr>
                <w:rFonts w:asciiTheme="majorBidi" w:hAnsiTheme="majorBidi"/>
              </w:rPr>
              <w:t>,</w:t>
            </w:r>
            <w:r>
              <w:t xml:space="preserve"> </w:t>
            </w:r>
            <w:r w:rsidRPr="007475EE">
              <w:rPr>
                <w:rFonts w:asciiTheme="majorBidi" w:hAnsiTheme="majorBidi"/>
              </w:rPr>
              <w:t>India</w:t>
            </w:r>
            <w:r>
              <w:rPr>
                <w:rFonts w:asciiTheme="majorBidi" w:hAnsiTheme="majorBidi"/>
              </w:rPr>
              <w:t xml:space="preserve"> (residential)</w:t>
            </w:r>
          </w:p>
        </w:tc>
        <w:tc>
          <w:tcPr>
            <w:tcW w:w="1842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–0.42 to –0.29</w:t>
            </w:r>
          </w:p>
        </w:tc>
        <w:tc>
          <w:tcPr>
            <w:tcW w:w="1701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0.60 to 0.64</w:t>
            </w:r>
          </w:p>
        </w:tc>
        <w:tc>
          <w:tcPr>
            <w:tcW w:w="2434" w:type="dxa"/>
          </w:tcPr>
          <w:p w:rsidR="002D406F" w:rsidRPr="0092369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Panel data estimation, monthly surveys, </w:t>
            </w:r>
            <w:r w:rsidRPr="002773D1">
              <w:rPr>
                <w:rFonts w:asciiTheme="majorBidi" w:hAnsiTheme="majorBidi" w:cstheme="majorBidi"/>
              </w:rPr>
              <w:t>1993</w:t>
            </w:r>
            <w:r>
              <w:rPr>
                <w:rFonts w:asciiTheme="majorBidi" w:hAnsiTheme="majorBidi" w:cstheme="majorBidi"/>
              </w:rPr>
              <w:t>–</w:t>
            </w:r>
            <w:r w:rsidRPr="002773D1">
              <w:rPr>
                <w:rFonts w:asciiTheme="majorBidi" w:hAnsiTheme="majorBidi" w:cstheme="majorBidi"/>
              </w:rPr>
              <w:t>1994</w:t>
            </w:r>
          </w:p>
        </w:tc>
      </w:tr>
      <w:tr w:rsidR="002D406F" w:rsidRPr="004F52A6" w:rsidTr="00392D13">
        <w:trPr>
          <w:trHeight w:val="834"/>
        </w:trPr>
        <w:tc>
          <w:tcPr>
            <w:tcW w:w="2694" w:type="dxa"/>
          </w:tcPr>
          <w:p w:rsidR="002D406F" w:rsidRPr="005C065A" w:rsidRDefault="002D406F" w:rsidP="00392D13">
            <w:pPr>
              <w:rPr>
                <w:rFonts w:asciiTheme="majorBidi" w:hAnsiTheme="majorBidi"/>
                <w:b/>
                <w:bCs/>
              </w:rPr>
            </w:pPr>
            <w:r w:rsidRPr="002773D1">
              <w:rPr>
                <w:rFonts w:asciiTheme="majorBidi" w:hAnsiTheme="majorBidi"/>
              </w:rPr>
              <w:t>Holtedahl and Joutz (2004)</w:t>
            </w:r>
            <w:r>
              <w:rPr>
                <w:rFonts w:asciiTheme="majorBidi" w:hAnsiTheme="majorBidi"/>
              </w:rPr>
              <w:t>,</w:t>
            </w:r>
            <w:r>
              <w:t xml:space="preserve"> </w:t>
            </w:r>
            <w:r w:rsidRPr="007475EE">
              <w:rPr>
                <w:rFonts w:asciiTheme="majorBidi" w:hAnsiTheme="majorBidi"/>
              </w:rPr>
              <w:t>Taiwan</w:t>
            </w:r>
            <w:r>
              <w:rPr>
                <w:rFonts w:asciiTheme="majorBidi" w:hAnsiTheme="majorBidi"/>
              </w:rPr>
              <w:t xml:space="preserve"> (residential)</w:t>
            </w:r>
          </w:p>
        </w:tc>
        <w:tc>
          <w:tcPr>
            <w:tcW w:w="1842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–0.15</w:t>
            </w:r>
          </w:p>
        </w:tc>
        <w:tc>
          <w:tcPr>
            <w:tcW w:w="1701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1.04 to </w:t>
            </w:r>
            <w:r w:rsidRPr="002773D1">
              <w:rPr>
                <w:rFonts w:asciiTheme="majorBidi" w:hAnsiTheme="majorBidi" w:cstheme="majorBidi"/>
              </w:rPr>
              <w:t>1.57</w:t>
            </w:r>
          </w:p>
        </w:tc>
        <w:tc>
          <w:tcPr>
            <w:tcW w:w="2434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Cointegration and error correction, annual time series, </w:t>
            </w:r>
            <w:r w:rsidRPr="002773D1">
              <w:rPr>
                <w:rFonts w:asciiTheme="majorBidi" w:hAnsiTheme="majorBidi" w:cstheme="majorBidi"/>
              </w:rPr>
              <w:t>1955</w:t>
            </w:r>
            <w:r>
              <w:rPr>
                <w:rFonts w:asciiTheme="majorBidi" w:hAnsiTheme="majorBidi" w:cstheme="majorBidi"/>
              </w:rPr>
              <w:t>–</w:t>
            </w:r>
            <w:r w:rsidRPr="002773D1">
              <w:rPr>
                <w:rFonts w:asciiTheme="majorBidi" w:hAnsiTheme="majorBidi" w:cstheme="majorBidi"/>
              </w:rPr>
              <w:t>1995</w:t>
            </w:r>
          </w:p>
        </w:tc>
      </w:tr>
      <w:tr w:rsidR="002D406F" w:rsidRPr="00927FA7" w:rsidTr="00392D13">
        <w:trPr>
          <w:trHeight w:val="999"/>
        </w:trPr>
        <w:tc>
          <w:tcPr>
            <w:tcW w:w="2694" w:type="dxa"/>
          </w:tcPr>
          <w:p w:rsidR="002D406F" w:rsidRPr="005C065A" w:rsidRDefault="002D406F" w:rsidP="00392D13">
            <w:pPr>
              <w:rPr>
                <w:rFonts w:asciiTheme="majorBidi" w:hAnsiTheme="majorBidi"/>
                <w:b/>
                <w:bCs/>
              </w:rPr>
            </w:pPr>
            <w:r w:rsidRPr="002773D1">
              <w:rPr>
                <w:rFonts w:asciiTheme="majorBidi" w:hAnsiTheme="majorBidi"/>
              </w:rPr>
              <w:t>Al-Faris (2002)</w:t>
            </w:r>
            <w:r>
              <w:rPr>
                <w:rFonts w:asciiTheme="majorBidi" w:hAnsiTheme="majorBidi"/>
              </w:rPr>
              <w:t>,</w:t>
            </w:r>
            <w:r>
              <w:t xml:space="preserve"> </w:t>
            </w:r>
            <w:r w:rsidRPr="007475EE">
              <w:rPr>
                <w:rFonts w:asciiTheme="majorBidi" w:hAnsiTheme="majorBidi"/>
              </w:rPr>
              <w:t>GCC countries</w:t>
            </w:r>
            <w:r>
              <w:rPr>
                <w:rFonts w:asciiTheme="majorBidi" w:hAnsiTheme="majorBidi"/>
              </w:rPr>
              <w:t xml:space="preserve"> (aggregate)</w:t>
            </w:r>
          </w:p>
        </w:tc>
        <w:tc>
          <w:tcPr>
            <w:tcW w:w="1842" w:type="dxa"/>
          </w:tcPr>
          <w:p w:rsidR="002D406F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 xml:space="preserve">Short run: 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Pr="002773D1">
              <w:rPr>
                <w:rFonts w:asciiTheme="majorBidi" w:hAnsiTheme="majorBidi" w:cstheme="majorBidi"/>
              </w:rPr>
              <w:t>–0.18 to –0.04;</w:t>
            </w:r>
          </w:p>
          <w:p w:rsidR="002D406F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 xml:space="preserve">Long run: 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Pr="002773D1">
              <w:rPr>
                <w:rFonts w:asciiTheme="majorBidi" w:hAnsiTheme="majorBidi" w:cstheme="majorBidi"/>
              </w:rPr>
              <w:t xml:space="preserve">–3.39 to –0.82 </w:t>
            </w:r>
          </w:p>
        </w:tc>
        <w:tc>
          <w:tcPr>
            <w:tcW w:w="1701" w:type="dxa"/>
          </w:tcPr>
          <w:p w:rsidR="002D406F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 xml:space="preserve">Short run: 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2773D1">
              <w:rPr>
                <w:rFonts w:asciiTheme="majorBidi" w:hAnsiTheme="majorBidi" w:cstheme="majorBidi"/>
              </w:rPr>
              <w:t>0.02–0.70</w:t>
            </w:r>
          </w:p>
          <w:p w:rsidR="002D406F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 xml:space="preserve">Long run: 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2773D1">
              <w:rPr>
                <w:rFonts w:asciiTheme="majorBidi" w:hAnsiTheme="majorBidi" w:cstheme="majorBidi"/>
              </w:rPr>
              <w:t>0.33–5.39</w:t>
            </w:r>
          </w:p>
        </w:tc>
        <w:tc>
          <w:tcPr>
            <w:tcW w:w="2434" w:type="dxa"/>
          </w:tcPr>
          <w:p w:rsidR="002D406F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Cointegration approach, annual time series data, </w:t>
            </w:r>
          </w:p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1970</w:t>
            </w:r>
            <w:r>
              <w:rPr>
                <w:rFonts w:asciiTheme="majorBidi" w:hAnsiTheme="majorBidi" w:cstheme="majorBidi"/>
              </w:rPr>
              <w:t>–</w:t>
            </w:r>
            <w:r w:rsidRPr="002773D1">
              <w:rPr>
                <w:rFonts w:asciiTheme="majorBidi" w:hAnsiTheme="majorBidi" w:cstheme="majorBidi"/>
              </w:rPr>
              <w:t>1997</w:t>
            </w:r>
          </w:p>
        </w:tc>
      </w:tr>
      <w:tr w:rsidR="002D406F" w:rsidRPr="004F52A6" w:rsidTr="00392D13">
        <w:trPr>
          <w:trHeight w:val="622"/>
        </w:trPr>
        <w:tc>
          <w:tcPr>
            <w:tcW w:w="2694" w:type="dxa"/>
          </w:tcPr>
          <w:p w:rsidR="002D406F" w:rsidRPr="005C065A" w:rsidRDefault="002D406F" w:rsidP="00392D13">
            <w:pPr>
              <w:rPr>
                <w:rFonts w:asciiTheme="majorBidi" w:hAnsiTheme="majorBidi"/>
                <w:b/>
                <w:bCs/>
              </w:rPr>
            </w:pPr>
            <w:r w:rsidRPr="002773D1">
              <w:rPr>
                <w:rFonts w:asciiTheme="majorBidi" w:hAnsiTheme="majorBidi"/>
              </w:rPr>
              <w:t>Silk and Joutz (1997)</w:t>
            </w:r>
            <w:r w:rsidRPr="00F70565">
              <w:t>,</w:t>
            </w:r>
            <w:r>
              <w:t xml:space="preserve"> </w:t>
            </w:r>
            <w:r w:rsidRPr="007475EE">
              <w:rPr>
                <w:rFonts w:asciiTheme="majorBidi" w:hAnsiTheme="majorBidi"/>
              </w:rPr>
              <w:t>United States</w:t>
            </w:r>
            <w:r>
              <w:rPr>
                <w:rFonts w:asciiTheme="majorBidi" w:hAnsiTheme="majorBidi"/>
              </w:rPr>
              <w:t xml:space="preserve"> (residential)</w:t>
            </w:r>
          </w:p>
        </w:tc>
        <w:tc>
          <w:tcPr>
            <w:tcW w:w="1842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Long run: –0.48</w:t>
            </w:r>
          </w:p>
        </w:tc>
        <w:tc>
          <w:tcPr>
            <w:tcW w:w="1701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 w:rsidRPr="002773D1">
              <w:rPr>
                <w:rFonts w:asciiTheme="majorBidi" w:hAnsiTheme="majorBidi" w:cstheme="majorBidi"/>
              </w:rPr>
              <w:t>Long run: 0.52</w:t>
            </w:r>
          </w:p>
        </w:tc>
        <w:tc>
          <w:tcPr>
            <w:tcW w:w="2434" w:type="dxa"/>
          </w:tcPr>
          <w:p w:rsidR="002D406F" w:rsidRPr="002773D1" w:rsidRDefault="002D406F" w:rsidP="00392D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Cointegration approach, annual time series, </w:t>
            </w:r>
            <w:r w:rsidRPr="002773D1">
              <w:rPr>
                <w:rFonts w:asciiTheme="majorBidi" w:hAnsiTheme="majorBidi" w:cstheme="majorBidi"/>
              </w:rPr>
              <w:t>1949</w:t>
            </w:r>
            <w:r>
              <w:rPr>
                <w:rFonts w:asciiTheme="majorBidi" w:hAnsiTheme="majorBidi" w:cstheme="majorBidi"/>
              </w:rPr>
              <w:t>–1</w:t>
            </w:r>
            <w:r w:rsidRPr="002773D1">
              <w:rPr>
                <w:rFonts w:asciiTheme="majorBidi" w:hAnsiTheme="majorBidi" w:cstheme="majorBidi"/>
              </w:rPr>
              <w:t>993</w:t>
            </w:r>
          </w:p>
        </w:tc>
      </w:tr>
    </w:tbl>
    <w:p w:rsidR="002D406F" w:rsidRPr="007B7853" w:rsidRDefault="002D406F" w:rsidP="00F12E18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Table B</w:t>
      </w:r>
    </w:p>
    <w:p w:rsidR="00F12E18" w:rsidRPr="001D5988" w:rsidRDefault="00F12E18" w:rsidP="00F12E1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D5988">
        <w:rPr>
          <w:rFonts w:ascii="Times New Roman" w:hAnsi="Times New Roman" w:cs="Times New Roman"/>
          <w:i/>
          <w:sz w:val="24"/>
        </w:rPr>
        <w:t>Data Sources</w:t>
      </w:r>
    </w:p>
    <w:tbl>
      <w:tblPr>
        <w:tblStyle w:val="TableGrid"/>
        <w:tblW w:w="8595" w:type="dxa"/>
        <w:tblInd w:w="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330"/>
        <w:gridCol w:w="2745"/>
      </w:tblGrid>
      <w:tr w:rsidR="00F12E18" w:rsidTr="00762332">
        <w:trPr>
          <w:trHeight w:val="44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jc w:val="center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Variable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jc w:val="center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Description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jc w:val="center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Source</w:t>
            </w:r>
          </w:p>
        </w:tc>
      </w:tr>
      <w:tr w:rsidR="00F12E18" w:rsidTr="006D4781">
        <w:trPr>
          <w:trHeight w:val="412"/>
        </w:trPr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Electricity consumption (</w:t>
            </w:r>
            <w:proofErr w:type="spellStart"/>
            <w:r w:rsidRPr="006422A7">
              <w:rPr>
                <w:sz w:val="21"/>
                <w:szCs w:val="22"/>
                <w:lang w:eastAsia="ja-JP"/>
              </w:rPr>
              <w:t>GWh</w:t>
            </w:r>
            <w:proofErr w:type="spellEnd"/>
            <w:r w:rsidRPr="006422A7">
              <w:rPr>
                <w:sz w:val="21"/>
                <w:szCs w:val="22"/>
                <w:lang w:eastAsia="ja-JP"/>
              </w:rPr>
              <w:t>)</w:t>
            </w:r>
          </w:p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F12E18" w:rsidRPr="006422A7" w:rsidRDefault="00F12E18" w:rsidP="00762332">
            <w:pPr>
              <w:pStyle w:val="ReferencesBibliography"/>
              <w:numPr>
                <w:ilvl w:val="0"/>
                <w:numId w:val="9"/>
              </w:numPr>
              <w:spacing w:line="240" w:lineRule="auto"/>
              <w:ind w:left="317" w:hanging="283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Aggregate: total electricity consumption (</w:t>
            </w:r>
            <w:proofErr w:type="spellStart"/>
            <w:r w:rsidRPr="006422A7">
              <w:rPr>
                <w:sz w:val="21"/>
                <w:szCs w:val="22"/>
                <w:lang w:eastAsia="ja-JP"/>
              </w:rPr>
              <w:t>GWh</w:t>
            </w:r>
            <w:proofErr w:type="spellEnd"/>
            <w:r w:rsidRPr="006422A7">
              <w:rPr>
                <w:sz w:val="21"/>
                <w:szCs w:val="22"/>
                <w:lang w:eastAsia="ja-JP"/>
              </w:rPr>
              <w:t>)</w:t>
            </w:r>
          </w:p>
          <w:p w:rsidR="00F12E18" w:rsidRPr="006422A7" w:rsidRDefault="00F12E18" w:rsidP="00762332">
            <w:pPr>
              <w:pStyle w:val="ReferencesBibliography"/>
              <w:numPr>
                <w:ilvl w:val="0"/>
                <w:numId w:val="9"/>
              </w:numPr>
              <w:spacing w:line="240" w:lineRule="auto"/>
              <w:ind w:left="317" w:hanging="283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Residential: residential electricity consumption (</w:t>
            </w:r>
            <w:proofErr w:type="spellStart"/>
            <w:r w:rsidRPr="006422A7">
              <w:rPr>
                <w:sz w:val="21"/>
                <w:szCs w:val="22"/>
                <w:lang w:eastAsia="ja-JP"/>
              </w:rPr>
              <w:t>GWh</w:t>
            </w:r>
            <w:proofErr w:type="spellEnd"/>
            <w:r w:rsidRPr="006422A7">
              <w:rPr>
                <w:sz w:val="21"/>
                <w:szCs w:val="22"/>
                <w:lang w:eastAsia="ja-JP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bottom w:val="nil"/>
            </w:tcBorders>
          </w:tcPr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PT PLN. Annual Report</w:t>
            </w:r>
          </w:p>
        </w:tc>
      </w:tr>
      <w:tr w:rsidR="00F12E18" w:rsidTr="006D4781">
        <w:trPr>
          <w:trHeight w:val="11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 xml:space="preserve">Real income </w:t>
            </w:r>
          </w:p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(2000 billion rupiah)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422A7" w:rsidRDefault="00F12E18" w:rsidP="00762332">
            <w:pPr>
              <w:pStyle w:val="ReferencesBibliography"/>
              <w:numPr>
                <w:ilvl w:val="0"/>
                <w:numId w:val="8"/>
              </w:numPr>
              <w:spacing w:line="240" w:lineRule="auto"/>
              <w:ind w:left="317" w:hanging="283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 xml:space="preserve">Aggregate: constant GRDP with oil and gas at 2000 (billion </w:t>
            </w:r>
            <w:proofErr w:type="spellStart"/>
            <w:r w:rsidRPr="006422A7">
              <w:rPr>
                <w:sz w:val="21"/>
                <w:szCs w:val="22"/>
                <w:lang w:eastAsia="ja-JP"/>
              </w:rPr>
              <w:t>Rp</w:t>
            </w:r>
            <w:proofErr w:type="spellEnd"/>
            <w:r w:rsidRPr="006422A7">
              <w:rPr>
                <w:sz w:val="21"/>
                <w:szCs w:val="22"/>
                <w:lang w:eastAsia="ja-JP"/>
              </w:rPr>
              <w:t>)</w:t>
            </w:r>
          </w:p>
          <w:p w:rsidR="00F12E18" w:rsidRPr="007B7853" w:rsidRDefault="00F12E18" w:rsidP="00762332">
            <w:pPr>
              <w:pStyle w:val="ReferencesBibliography"/>
              <w:numPr>
                <w:ilvl w:val="0"/>
                <w:numId w:val="8"/>
              </w:numPr>
              <w:spacing w:line="240" w:lineRule="auto"/>
              <w:ind w:left="317" w:hanging="283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 xml:space="preserve">Residential: constant provincial private expenditure at 2000 (billion </w:t>
            </w:r>
            <w:proofErr w:type="spellStart"/>
            <w:r w:rsidRPr="006422A7">
              <w:rPr>
                <w:sz w:val="21"/>
                <w:szCs w:val="22"/>
                <w:lang w:eastAsia="ja-JP"/>
              </w:rPr>
              <w:t>Rp</w:t>
            </w:r>
            <w:proofErr w:type="spellEnd"/>
            <w:r w:rsidRPr="006422A7">
              <w:rPr>
                <w:sz w:val="21"/>
                <w:szCs w:val="22"/>
                <w:lang w:eastAsia="ja-JP"/>
              </w:rPr>
              <w:t>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Central Bureau of Statistics (</w:t>
            </w:r>
            <w:proofErr w:type="spellStart"/>
            <w:r w:rsidRPr="006422A7">
              <w:rPr>
                <w:sz w:val="21"/>
                <w:szCs w:val="22"/>
                <w:lang w:eastAsia="ja-JP"/>
              </w:rPr>
              <w:t>Badan</w:t>
            </w:r>
            <w:proofErr w:type="spellEnd"/>
            <w:r w:rsidRPr="006422A7">
              <w:rPr>
                <w:sz w:val="21"/>
                <w:szCs w:val="22"/>
                <w:lang w:eastAsia="ja-JP"/>
              </w:rPr>
              <w:t xml:space="preserve"> </w:t>
            </w:r>
            <w:proofErr w:type="spellStart"/>
            <w:r w:rsidRPr="006422A7">
              <w:rPr>
                <w:sz w:val="21"/>
                <w:szCs w:val="22"/>
                <w:lang w:eastAsia="ja-JP"/>
              </w:rPr>
              <w:t>Pusat</w:t>
            </w:r>
            <w:proofErr w:type="spellEnd"/>
            <w:r w:rsidRPr="006422A7">
              <w:rPr>
                <w:sz w:val="21"/>
                <w:szCs w:val="22"/>
                <w:lang w:eastAsia="ja-JP"/>
              </w:rPr>
              <w:t xml:space="preserve"> </w:t>
            </w:r>
            <w:proofErr w:type="spellStart"/>
            <w:r w:rsidRPr="006422A7">
              <w:rPr>
                <w:sz w:val="21"/>
                <w:szCs w:val="22"/>
                <w:lang w:eastAsia="ja-JP"/>
              </w:rPr>
              <w:t>Statistik</w:t>
            </w:r>
            <w:proofErr w:type="spellEnd"/>
            <w:r w:rsidRPr="006422A7">
              <w:rPr>
                <w:sz w:val="21"/>
                <w:szCs w:val="22"/>
                <w:lang w:eastAsia="ja-JP"/>
              </w:rPr>
              <w:t xml:space="preserve">) </w:t>
            </w:r>
          </w:p>
        </w:tc>
      </w:tr>
      <w:tr w:rsidR="00F12E18" w:rsidTr="006D4781">
        <w:trPr>
          <w:trHeight w:val="229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62EA8" w:rsidRDefault="00662EA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val="id-ID" w:eastAsia="ja-JP"/>
              </w:rPr>
            </w:pPr>
          </w:p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 xml:space="preserve">Real average price of electricity </w:t>
            </w:r>
          </w:p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(2000 rupiah/kWh)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62EA8" w:rsidRPr="00662EA8" w:rsidRDefault="00662EA8" w:rsidP="00662EA8">
            <w:pPr>
              <w:pStyle w:val="ReferencesBibliography"/>
              <w:spacing w:line="240" w:lineRule="auto"/>
              <w:ind w:left="317" w:firstLine="0"/>
              <w:rPr>
                <w:sz w:val="21"/>
                <w:szCs w:val="22"/>
                <w:lang w:eastAsia="ja-JP"/>
              </w:rPr>
            </w:pPr>
          </w:p>
          <w:p w:rsidR="00F12E18" w:rsidRPr="006422A7" w:rsidRDefault="00F12E18" w:rsidP="00762332">
            <w:pPr>
              <w:pStyle w:val="ReferencesBibliography"/>
              <w:numPr>
                <w:ilvl w:val="0"/>
                <w:numId w:val="6"/>
              </w:numPr>
              <w:spacing w:line="240" w:lineRule="auto"/>
              <w:ind w:left="317" w:hanging="283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 xml:space="preserve">Aggregate: </w:t>
            </w:r>
            <w:r w:rsidR="00662EA8">
              <w:rPr>
                <w:sz w:val="21"/>
                <w:szCs w:val="22"/>
                <w:lang w:eastAsia="ja-JP"/>
              </w:rPr>
              <w:t>total revenue from sales</w:t>
            </w:r>
            <w:r w:rsidR="00662EA8">
              <w:rPr>
                <w:sz w:val="21"/>
                <w:szCs w:val="22"/>
                <w:lang w:val="id-ID" w:eastAsia="ja-JP"/>
              </w:rPr>
              <w:t xml:space="preserve"> divided by </w:t>
            </w:r>
            <w:r w:rsidRPr="006422A7">
              <w:rPr>
                <w:sz w:val="21"/>
                <w:szCs w:val="22"/>
                <w:lang w:eastAsia="ja-JP"/>
              </w:rPr>
              <w:t>electricity consumption, deflated by GRP deflator (</w:t>
            </w:r>
            <w:proofErr w:type="spellStart"/>
            <w:r w:rsidRPr="006422A7">
              <w:rPr>
                <w:sz w:val="21"/>
                <w:szCs w:val="22"/>
                <w:lang w:eastAsia="ja-JP"/>
              </w:rPr>
              <w:t>Rp</w:t>
            </w:r>
            <w:proofErr w:type="spellEnd"/>
            <w:r w:rsidRPr="006422A7">
              <w:rPr>
                <w:sz w:val="21"/>
                <w:szCs w:val="22"/>
                <w:lang w:eastAsia="ja-JP"/>
              </w:rPr>
              <w:t xml:space="preserve">/kWh) </w:t>
            </w:r>
          </w:p>
          <w:p w:rsidR="00F12E18" w:rsidRPr="007B7853" w:rsidRDefault="00F12E18" w:rsidP="00662EA8">
            <w:pPr>
              <w:pStyle w:val="ReferencesBibliography"/>
              <w:numPr>
                <w:ilvl w:val="0"/>
                <w:numId w:val="6"/>
              </w:numPr>
              <w:spacing w:line="240" w:lineRule="auto"/>
              <w:ind w:left="317" w:hanging="283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Residential: total revenue in residential sector</w:t>
            </w:r>
            <w:r w:rsidR="00662EA8">
              <w:rPr>
                <w:sz w:val="21"/>
                <w:szCs w:val="22"/>
                <w:lang w:val="id-ID" w:eastAsia="ja-JP"/>
              </w:rPr>
              <w:t xml:space="preserve"> divided by </w:t>
            </w:r>
            <w:r w:rsidRPr="006422A7">
              <w:rPr>
                <w:sz w:val="21"/>
                <w:szCs w:val="22"/>
                <w:lang w:eastAsia="ja-JP"/>
              </w:rPr>
              <w:t>electricity consumption in residential sector, deflated by CPI (</w:t>
            </w:r>
            <w:proofErr w:type="spellStart"/>
            <w:r w:rsidRPr="006422A7">
              <w:rPr>
                <w:sz w:val="21"/>
                <w:szCs w:val="22"/>
                <w:lang w:eastAsia="ja-JP"/>
              </w:rPr>
              <w:t>Rp</w:t>
            </w:r>
            <w:proofErr w:type="spellEnd"/>
            <w:r w:rsidRPr="006422A7">
              <w:rPr>
                <w:sz w:val="21"/>
                <w:szCs w:val="22"/>
                <w:lang w:eastAsia="ja-JP"/>
              </w:rPr>
              <w:t>/kWh)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62EA8" w:rsidRDefault="00662EA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val="id-ID" w:eastAsia="ja-JP"/>
              </w:rPr>
            </w:pPr>
          </w:p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Own calculation with data of:</w:t>
            </w:r>
          </w:p>
          <w:p w:rsidR="00F12E18" w:rsidRPr="006422A7" w:rsidRDefault="00F12E18" w:rsidP="00F12E18">
            <w:pPr>
              <w:pStyle w:val="ReferencesBibliography"/>
              <w:numPr>
                <w:ilvl w:val="0"/>
                <w:numId w:val="5"/>
              </w:numPr>
              <w:spacing w:line="240" w:lineRule="auto"/>
              <w:ind w:left="317" w:hanging="284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 xml:space="preserve">average electricity price for </w:t>
            </w:r>
            <w:r>
              <w:rPr>
                <w:sz w:val="21"/>
                <w:szCs w:val="22"/>
                <w:lang w:eastAsia="ja-JP"/>
              </w:rPr>
              <w:t>a</w:t>
            </w:r>
            <w:r w:rsidRPr="006422A7">
              <w:rPr>
                <w:sz w:val="21"/>
                <w:szCs w:val="22"/>
                <w:lang w:eastAsia="ja-JP"/>
              </w:rPr>
              <w:t xml:space="preserve">ggregate and </w:t>
            </w:r>
            <w:r>
              <w:rPr>
                <w:sz w:val="21"/>
                <w:szCs w:val="22"/>
                <w:lang w:eastAsia="ja-JP"/>
              </w:rPr>
              <w:t>r</w:t>
            </w:r>
            <w:r w:rsidRPr="006422A7">
              <w:rPr>
                <w:sz w:val="21"/>
                <w:szCs w:val="22"/>
                <w:lang w:eastAsia="ja-JP"/>
              </w:rPr>
              <w:t xml:space="preserve">esidential from </w:t>
            </w:r>
            <w:r>
              <w:rPr>
                <w:sz w:val="21"/>
                <w:szCs w:val="22"/>
                <w:lang w:eastAsia="ja-JP"/>
              </w:rPr>
              <w:t xml:space="preserve">the </w:t>
            </w:r>
            <w:r w:rsidRPr="006422A7">
              <w:rPr>
                <w:sz w:val="21"/>
                <w:szCs w:val="22"/>
                <w:lang w:eastAsia="ja-JP"/>
              </w:rPr>
              <w:t>Annual Report of PT PLN and</w:t>
            </w:r>
          </w:p>
          <w:p w:rsidR="00F12E18" w:rsidRPr="006422A7" w:rsidRDefault="00F12E18" w:rsidP="00F12E18">
            <w:pPr>
              <w:pStyle w:val="ReferencesBibliography"/>
              <w:numPr>
                <w:ilvl w:val="0"/>
                <w:numId w:val="5"/>
              </w:numPr>
              <w:spacing w:line="240" w:lineRule="auto"/>
              <w:ind w:left="317" w:hanging="284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GRP deflator and CPI are obtained from Central Bureau of Statistics.</w:t>
            </w:r>
          </w:p>
        </w:tc>
      </w:tr>
      <w:tr w:rsidR="00F12E18" w:rsidTr="006D4781">
        <w:trPr>
          <w:trHeight w:val="415"/>
        </w:trPr>
        <w:tc>
          <w:tcPr>
            <w:tcW w:w="2520" w:type="dxa"/>
            <w:tcBorders>
              <w:top w:val="nil"/>
            </w:tcBorders>
          </w:tcPr>
          <w:p w:rsidR="00F12E18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val="id-ID" w:eastAsia="ja-JP"/>
              </w:rPr>
            </w:pPr>
          </w:p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The number of customers (million)</w:t>
            </w:r>
          </w:p>
        </w:tc>
        <w:tc>
          <w:tcPr>
            <w:tcW w:w="3330" w:type="dxa"/>
            <w:tcBorders>
              <w:top w:val="nil"/>
            </w:tcBorders>
          </w:tcPr>
          <w:p w:rsidR="00F12E18" w:rsidRPr="00DB62A1" w:rsidRDefault="00F12E18" w:rsidP="00762332">
            <w:pPr>
              <w:pStyle w:val="ReferencesBibliography"/>
              <w:spacing w:line="240" w:lineRule="auto"/>
              <w:ind w:left="317" w:firstLine="0"/>
              <w:rPr>
                <w:sz w:val="21"/>
                <w:szCs w:val="22"/>
                <w:lang w:eastAsia="ja-JP"/>
              </w:rPr>
            </w:pPr>
          </w:p>
          <w:p w:rsidR="00F12E18" w:rsidRPr="006422A7" w:rsidRDefault="00F12E18" w:rsidP="00762332">
            <w:pPr>
              <w:pStyle w:val="ReferencesBibliography"/>
              <w:numPr>
                <w:ilvl w:val="0"/>
                <w:numId w:val="7"/>
              </w:numPr>
              <w:spacing w:line="240" w:lineRule="auto"/>
              <w:ind w:left="317" w:hanging="283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 xml:space="preserve">Aggregate: the total number of customers </w:t>
            </w:r>
          </w:p>
          <w:p w:rsidR="00F12E18" w:rsidRPr="00662EA8" w:rsidRDefault="00F12E18" w:rsidP="00762332">
            <w:pPr>
              <w:pStyle w:val="ReferencesBibliography"/>
              <w:numPr>
                <w:ilvl w:val="0"/>
                <w:numId w:val="7"/>
              </w:numPr>
              <w:spacing w:line="240" w:lineRule="auto"/>
              <w:ind w:left="317" w:hanging="283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Residential: the number of residential customers</w:t>
            </w:r>
          </w:p>
          <w:p w:rsidR="00662EA8" w:rsidRPr="006422A7" w:rsidRDefault="00662EA8" w:rsidP="00662EA8">
            <w:pPr>
              <w:pStyle w:val="ReferencesBibliography"/>
              <w:spacing w:line="240" w:lineRule="auto"/>
              <w:ind w:left="317" w:firstLine="0"/>
              <w:rPr>
                <w:sz w:val="21"/>
                <w:szCs w:val="22"/>
                <w:lang w:eastAsia="ja-JP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F12E18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val="id-ID" w:eastAsia="ja-JP"/>
              </w:rPr>
            </w:pPr>
          </w:p>
          <w:p w:rsidR="00F12E18" w:rsidRPr="006422A7" w:rsidRDefault="00F12E18" w:rsidP="00762332">
            <w:pPr>
              <w:pStyle w:val="ReferencesBibliography"/>
              <w:spacing w:line="240" w:lineRule="auto"/>
              <w:ind w:left="0" w:firstLine="0"/>
              <w:rPr>
                <w:sz w:val="21"/>
                <w:szCs w:val="22"/>
                <w:lang w:eastAsia="ja-JP"/>
              </w:rPr>
            </w:pPr>
            <w:r w:rsidRPr="006422A7">
              <w:rPr>
                <w:sz w:val="21"/>
                <w:szCs w:val="22"/>
                <w:lang w:eastAsia="ja-JP"/>
              </w:rPr>
              <w:t>PT PLN. Annual Report</w:t>
            </w:r>
          </w:p>
        </w:tc>
      </w:tr>
    </w:tbl>
    <w:p w:rsidR="00F12E18" w:rsidRPr="009B4E4C" w:rsidRDefault="00F12E18" w:rsidP="00F12E18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12E18" w:rsidRDefault="00F12E18" w:rsidP="00F12E18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</w:t>
      </w:r>
      <w:r w:rsidR="002D406F">
        <w:rPr>
          <w:rFonts w:ascii="Times New Roman" w:hAnsi="Times New Roman" w:cs="Times New Roman"/>
          <w:sz w:val="24"/>
        </w:rPr>
        <w:t>C</w:t>
      </w:r>
    </w:p>
    <w:p w:rsidR="00F12E18" w:rsidRPr="001D5988" w:rsidRDefault="00F12E18" w:rsidP="00F12E1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D5988">
        <w:rPr>
          <w:rFonts w:ascii="Times New Roman" w:hAnsi="Times New Roman" w:cs="Times New Roman"/>
          <w:i/>
          <w:sz w:val="24"/>
        </w:rPr>
        <w:t>Descriptive Statistics of Regional Data</w:t>
      </w:r>
    </w:p>
    <w:p w:rsidR="00F12E18" w:rsidRPr="006D4781" w:rsidRDefault="00F12E18" w:rsidP="00F12E18">
      <w:pPr>
        <w:pStyle w:val="ListParagraph"/>
        <w:spacing w:after="120" w:line="240" w:lineRule="auto"/>
        <w:ind w:left="180"/>
        <w:jc w:val="both"/>
        <w:rPr>
          <w:rFonts w:ascii="Times New Roman" w:hAnsi="Times New Roman" w:cs="Times New Roman"/>
          <w:b/>
        </w:rPr>
      </w:pPr>
      <w:r w:rsidRPr="006D4781">
        <w:rPr>
          <w:rFonts w:ascii="Times New Roman" w:hAnsi="Times New Roman" w:cs="Times New Roman"/>
          <w:b/>
        </w:rPr>
        <w:t>Java Bali region:</w:t>
      </w:r>
    </w:p>
    <w:tbl>
      <w:tblPr>
        <w:tblStyle w:val="TableGrid"/>
        <w:tblW w:w="8333" w:type="dxa"/>
        <w:tblLook w:val="04A0" w:firstRow="1" w:lastRow="0" w:firstColumn="1" w:lastColumn="0" w:noHBand="0" w:noVBand="1"/>
      </w:tblPr>
      <w:tblGrid>
        <w:gridCol w:w="3910"/>
        <w:gridCol w:w="1134"/>
        <w:gridCol w:w="1041"/>
        <w:gridCol w:w="1097"/>
        <w:gridCol w:w="1151"/>
      </w:tblGrid>
      <w:tr w:rsidR="00F12E18" w:rsidRPr="00C94629" w:rsidTr="00762332">
        <w:trPr>
          <w:trHeight w:val="416"/>
        </w:trPr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Variables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Mean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Std. Dev.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Minimum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Maximum</w:t>
            </w:r>
          </w:p>
        </w:tc>
      </w:tr>
      <w:tr w:rsidR="00F12E18" w:rsidRPr="00C94629" w:rsidTr="00762332">
        <w:trPr>
          <w:trHeight w:val="266"/>
        </w:trPr>
        <w:tc>
          <w:tcPr>
            <w:tcW w:w="3910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spacing w:before="60" w:after="60"/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Aggregate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422A7" w:rsidRDefault="00F12E18" w:rsidP="00762332">
            <w:pPr>
              <w:spacing w:before="60" w:after="60"/>
              <w:ind w:firstLine="183"/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Electricity consumption (GWh)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12239.81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8334.10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945.19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30720.99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422A7" w:rsidRDefault="00F12E18" w:rsidP="00762332">
            <w:pPr>
              <w:spacing w:before="60" w:after="60"/>
              <w:ind w:firstLine="183"/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Electricity price (Rp/kWh)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347.81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56.77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246.80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472.29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422A7" w:rsidRDefault="00F12E18" w:rsidP="00762332">
            <w:pPr>
              <w:spacing w:before="60" w:after="60"/>
              <w:ind w:firstLine="183"/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GDRP (billion 2000 Rp)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151160.10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117458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13480.6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395664.50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18" w:rsidRPr="006422A7" w:rsidRDefault="00F12E18" w:rsidP="00762332">
            <w:pPr>
              <w:spacing w:before="60" w:after="60"/>
              <w:ind w:firstLine="183"/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 xml:space="preserve">Number of customers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3376692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2546379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573649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8206806</w:t>
            </w:r>
          </w:p>
        </w:tc>
      </w:tr>
      <w:tr w:rsidR="00F12E18" w:rsidRPr="00C94629" w:rsidTr="00762332">
        <w:tc>
          <w:tcPr>
            <w:tcW w:w="3910" w:type="dxa"/>
            <w:tcBorders>
              <w:left w:val="nil"/>
              <w:bottom w:val="nil"/>
              <w:right w:val="nil"/>
            </w:tcBorders>
          </w:tcPr>
          <w:p w:rsidR="00F12E18" w:rsidRPr="006422A7" w:rsidRDefault="00F12E18" w:rsidP="00762332">
            <w:pPr>
              <w:spacing w:before="60" w:after="60"/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Residential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422A7" w:rsidRDefault="00F12E18" w:rsidP="00762332">
            <w:pPr>
              <w:spacing w:before="60" w:after="60"/>
              <w:ind w:firstLine="183"/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Electricity consumption (GWh)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4393.79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2999.42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554.42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11617.13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422A7" w:rsidRDefault="00F12E18" w:rsidP="00762332">
            <w:pPr>
              <w:spacing w:before="60" w:after="60"/>
              <w:ind w:firstLine="183"/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Electricity price (Rp/kWh)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300.17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70.41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172.63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464.01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422A7" w:rsidRDefault="00F12E18" w:rsidP="00762332">
            <w:pPr>
              <w:spacing w:before="60" w:after="60"/>
              <w:ind w:firstLine="183"/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Private expenditures (billion 2000 Rp)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91743.45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73203.55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7355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243827.20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18" w:rsidRPr="006422A7" w:rsidRDefault="00F12E18" w:rsidP="00762332">
            <w:pPr>
              <w:spacing w:before="60" w:after="60"/>
              <w:ind w:firstLine="183"/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Number of customers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3149455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2393625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516609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422A7" w:rsidRDefault="00F12E18" w:rsidP="00762332">
            <w:pPr>
              <w:rPr>
                <w:sz w:val="21"/>
                <w:szCs w:val="21"/>
              </w:rPr>
            </w:pPr>
            <w:r w:rsidRPr="006422A7">
              <w:rPr>
                <w:sz w:val="21"/>
                <w:szCs w:val="21"/>
              </w:rPr>
              <w:t>7740066</w:t>
            </w:r>
          </w:p>
        </w:tc>
      </w:tr>
    </w:tbl>
    <w:p w:rsidR="00F12E18" w:rsidRDefault="00F12E18" w:rsidP="00F12E18">
      <w:pPr>
        <w:pStyle w:val="ListParagraph"/>
        <w:spacing w:before="240" w:after="120" w:line="240" w:lineRule="auto"/>
        <w:ind w:left="180"/>
        <w:jc w:val="both"/>
        <w:rPr>
          <w:rFonts w:ascii="Times New Roman" w:hAnsi="Times New Roman" w:cs="Times New Roman"/>
          <w:sz w:val="24"/>
        </w:rPr>
      </w:pPr>
    </w:p>
    <w:p w:rsidR="002D406F" w:rsidRDefault="002D406F" w:rsidP="00F12E18">
      <w:pPr>
        <w:pStyle w:val="ListParagraph"/>
        <w:spacing w:before="240" w:after="120" w:line="240" w:lineRule="auto"/>
        <w:ind w:left="180"/>
        <w:jc w:val="both"/>
        <w:rPr>
          <w:rFonts w:ascii="Times New Roman" w:hAnsi="Times New Roman" w:cs="Times New Roman"/>
          <w:sz w:val="24"/>
        </w:rPr>
      </w:pPr>
    </w:p>
    <w:p w:rsidR="002D406F" w:rsidRDefault="002D406F" w:rsidP="00F12E18">
      <w:pPr>
        <w:pStyle w:val="ListParagraph"/>
        <w:spacing w:before="240" w:after="120" w:line="240" w:lineRule="auto"/>
        <w:ind w:left="180"/>
        <w:jc w:val="both"/>
        <w:rPr>
          <w:rFonts w:ascii="Times New Roman" w:hAnsi="Times New Roman" w:cs="Times New Roman"/>
          <w:sz w:val="24"/>
        </w:rPr>
      </w:pPr>
    </w:p>
    <w:p w:rsidR="002D406F" w:rsidRPr="002D406F" w:rsidRDefault="002D406F" w:rsidP="00F12E18">
      <w:pPr>
        <w:pStyle w:val="ListParagraph"/>
        <w:spacing w:before="240" w:after="120" w:line="240" w:lineRule="auto"/>
        <w:ind w:left="180"/>
        <w:jc w:val="both"/>
        <w:rPr>
          <w:rFonts w:ascii="Times New Roman" w:hAnsi="Times New Roman" w:cs="Times New Roman"/>
          <w:sz w:val="24"/>
        </w:rPr>
      </w:pPr>
    </w:p>
    <w:p w:rsidR="00F12E18" w:rsidRPr="006D4781" w:rsidRDefault="00F12E18" w:rsidP="00F12E18">
      <w:pPr>
        <w:pStyle w:val="ListParagraph"/>
        <w:spacing w:before="240" w:after="120" w:line="240" w:lineRule="auto"/>
        <w:ind w:left="180"/>
        <w:jc w:val="both"/>
        <w:rPr>
          <w:rFonts w:ascii="Times New Roman" w:hAnsi="Times New Roman" w:cs="Times New Roman"/>
          <w:b/>
        </w:rPr>
      </w:pPr>
      <w:r w:rsidRPr="006D4781">
        <w:rPr>
          <w:rFonts w:ascii="Times New Roman" w:hAnsi="Times New Roman" w:cs="Times New Roman"/>
          <w:b/>
        </w:rPr>
        <w:lastRenderedPageBreak/>
        <w:t>Non</w:t>
      </w:r>
      <w:r w:rsidRPr="006D4781">
        <w:rPr>
          <w:rFonts w:ascii="Times New Roman" w:hAnsi="Times New Roman" w:cs="Times New Roman"/>
          <w:b/>
          <w:lang w:val="en-US"/>
        </w:rPr>
        <w:t>-</w:t>
      </w:r>
      <w:r w:rsidRPr="006D4781">
        <w:rPr>
          <w:rFonts w:ascii="Times New Roman" w:hAnsi="Times New Roman" w:cs="Times New Roman"/>
          <w:b/>
        </w:rPr>
        <w:t>Java Bali region:</w:t>
      </w:r>
    </w:p>
    <w:tbl>
      <w:tblPr>
        <w:tblStyle w:val="TableGrid"/>
        <w:tblW w:w="8333" w:type="dxa"/>
        <w:tblLook w:val="04A0" w:firstRow="1" w:lastRow="0" w:firstColumn="1" w:lastColumn="0" w:noHBand="0" w:noVBand="1"/>
      </w:tblPr>
      <w:tblGrid>
        <w:gridCol w:w="3910"/>
        <w:gridCol w:w="1134"/>
        <w:gridCol w:w="1041"/>
        <w:gridCol w:w="1097"/>
        <w:gridCol w:w="1151"/>
      </w:tblGrid>
      <w:tr w:rsidR="00F12E18" w:rsidRPr="00C94629" w:rsidTr="00762332">
        <w:trPr>
          <w:trHeight w:val="416"/>
        </w:trPr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Variables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Mean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Std. Dev.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Minimum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Maximum</w:t>
            </w:r>
          </w:p>
        </w:tc>
      </w:tr>
      <w:tr w:rsidR="00F12E18" w:rsidRPr="00C94629" w:rsidTr="00762332">
        <w:trPr>
          <w:trHeight w:val="266"/>
        </w:trPr>
        <w:tc>
          <w:tcPr>
            <w:tcW w:w="3910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Aggregate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62EA8" w:rsidRDefault="00F12E18" w:rsidP="00762332">
            <w:pPr>
              <w:spacing w:before="60" w:after="60"/>
              <w:ind w:firstLine="183"/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Electricity consumption (GWh)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912.09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1035.83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40.18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6636.45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62EA8" w:rsidRDefault="00F12E18" w:rsidP="00762332">
            <w:pPr>
              <w:spacing w:before="60" w:after="60"/>
              <w:ind w:firstLine="183"/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Electricity price (Rp/kWh)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353.14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76.38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201.81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546.77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62EA8" w:rsidRDefault="00F12E18" w:rsidP="00762332">
            <w:pPr>
              <w:spacing w:before="60" w:after="60"/>
              <w:ind w:firstLine="183"/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GDRP (billion 2000 Rp)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26839.97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26748.33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1473.27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118640.9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18" w:rsidRPr="00662EA8" w:rsidRDefault="00F12E18" w:rsidP="00762332">
            <w:pPr>
              <w:spacing w:before="60" w:after="60"/>
              <w:ind w:firstLine="183"/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 xml:space="preserve">Number of customers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450374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443827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47720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2551931</w:t>
            </w:r>
          </w:p>
        </w:tc>
      </w:tr>
      <w:tr w:rsidR="00F12E18" w:rsidRPr="00C94629" w:rsidTr="00762332">
        <w:tc>
          <w:tcPr>
            <w:tcW w:w="3910" w:type="dxa"/>
            <w:tcBorders>
              <w:left w:val="nil"/>
              <w:bottom w:val="nil"/>
              <w:right w:val="nil"/>
            </w:tcBorders>
          </w:tcPr>
          <w:p w:rsidR="00F12E18" w:rsidRPr="00662EA8" w:rsidRDefault="00F12E18" w:rsidP="0076233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Residential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62EA8" w:rsidRDefault="00F12E18" w:rsidP="00762332">
            <w:pPr>
              <w:spacing w:before="60" w:after="60"/>
              <w:ind w:firstLine="183"/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Electricity consumption (GWh)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518.02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494.20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29.04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3073.58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62EA8" w:rsidRDefault="00F12E18" w:rsidP="00762332">
            <w:pPr>
              <w:spacing w:before="60" w:after="60"/>
              <w:ind w:firstLine="183"/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Electricity price (Rp/kWh)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292.67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66.65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178.39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447.66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12E18" w:rsidRPr="00662EA8" w:rsidRDefault="00F12E18" w:rsidP="00762332">
            <w:pPr>
              <w:spacing w:before="60" w:after="60"/>
              <w:ind w:firstLine="183"/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Private expenditures (billion 2000 Rp)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13256.32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12977.24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1230.80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74120.4</w:t>
            </w:r>
          </w:p>
        </w:tc>
      </w:tr>
      <w:tr w:rsidR="00F12E18" w:rsidRPr="00C94629" w:rsidTr="00762332"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18" w:rsidRPr="00662EA8" w:rsidRDefault="00F12E18" w:rsidP="00762332">
            <w:pPr>
              <w:spacing w:before="60" w:after="60"/>
              <w:ind w:firstLine="183"/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Number of customers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452721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433761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44315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18" w:rsidRPr="00662EA8" w:rsidRDefault="00F12E18" w:rsidP="00762332">
            <w:pPr>
              <w:rPr>
                <w:rFonts w:cstheme="minorHAnsi"/>
                <w:sz w:val="20"/>
                <w:szCs w:val="20"/>
              </w:rPr>
            </w:pPr>
            <w:r w:rsidRPr="00662EA8">
              <w:rPr>
                <w:rFonts w:cstheme="minorHAnsi"/>
                <w:sz w:val="20"/>
                <w:szCs w:val="20"/>
              </w:rPr>
              <w:t>2391177</w:t>
            </w:r>
          </w:p>
        </w:tc>
      </w:tr>
    </w:tbl>
    <w:p w:rsidR="00F12E18" w:rsidRDefault="00F12E18" w:rsidP="00F12E18">
      <w:pPr>
        <w:pStyle w:val="ListParagraph"/>
        <w:spacing w:before="360"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12E18" w:rsidRDefault="00F12E18" w:rsidP="00F12E18">
      <w:pPr>
        <w:pStyle w:val="ListParagraph"/>
        <w:numPr>
          <w:ilvl w:val="0"/>
          <w:numId w:val="1"/>
        </w:numPr>
        <w:spacing w:before="360"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B40E96">
        <w:rPr>
          <w:rFonts w:ascii="Times New Roman" w:hAnsi="Times New Roman" w:cs="Times New Roman"/>
          <w:sz w:val="24"/>
        </w:rPr>
        <w:t>Partial adjustment mechanism</w:t>
      </w:r>
    </w:p>
    <w:p w:rsidR="00F12E18" w:rsidRPr="00B40E96" w:rsidRDefault="00F12E18" w:rsidP="00F12E18">
      <w:pPr>
        <w:pStyle w:val="ListParagraph"/>
        <w:spacing w:before="360"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12E18" w:rsidRPr="007C7EED" w:rsidRDefault="00F12E18" w:rsidP="00F12E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ED">
        <w:rPr>
          <w:rFonts w:ascii="Times New Roman" w:hAnsi="Times New Roman" w:cs="Times New Roman"/>
          <w:i/>
          <w:sz w:val="24"/>
          <w:szCs w:val="24"/>
        </w:rPr>
        <w:t xml:space="preserve">Partial adjustment approach </w:t>
      </w:r>
      <w:r w:rsidRPr="007C7EED">
        <w:rPr>
          <w:rFonts w:ascii="Times New Roman" w:hAnsi="Times New Roman" w:cs="Times New Roman"/>
          <w:sz w:val="24"/>
          <w:szCs w:val="24"/>
        </w:rPr>
        <w:t xml:space="preserve">assumes that the change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C7EED"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7C7EED">
        <w:rPr>
          <w:rFonts w:ascii="Times New Roman" w:hAnsi="Times New Roman" w:cs="Times New Roman"/>
          <w:sz w:val="24"/>
          <w:szCs w:val="24"/>
        </w:rPr>
        <w:t xml:space="preserve"> actual demand between any two periods </w:t>
      </w:r>
      <w:r w:rsidRPr="001D5988">
        <w:rPr>
          <w:rFonts w:ascii="Times New Roman" w:hAnsi="Times New Roman" w:cs="Times New Roman"/>
          <w:i/>
          <w:sz w:val="24"/>
          <w:szCs w:val="24"/>
        </w:rPr>
        <w:t>t−1</w:t>
      </w:r>
      <w:r w:rsidRPr="007C7EED">
        <w:rPr>
          <w:rFonts w:ascii="Times New Roman" w:hAnsi="Times New Roman" w:cs="Times New Roman"/>
          <w:sz w:val="24"/>
          <w:szCs w:val="24"/>
        </w:rPr>
        <w:t xml:space="preserve"> and </w:t>
      </w:r>
      <w:r w:rsidRPr="001D5988">
        <w:rPr>
          <w:rFonts w:ascii="Times New Roman" w:hAnsi="Times New Roman" w:cs="Times New Roman"/>
          <w:i/>
          <w:sz w:val="24"/>
          <w:szCs w:val="24"/>
        </w:rPr>
        <w:t>t</w:t>
      </w:r>
      <w:r w:rsidRPr="007C7EED">
        <w:rPr>
          <w:rFonts w:ascii="Times New Roman" w:hAnsi="Times New Roman" w:cs="Times New Roman"/>
          <w:sz w:val="24"/>
          <w:szCs w:val="24"/>
        </w:rPr>
        <w:t xml:space="preserve"> is only some fraction (λ) of the difference between the logarithm of actual demand in period </w:t>
      </w:r>
      <w:r w:rsidRPr="001D5988">
        <w:rPr>
          <w:rFonts w:ascii="Times New Roman" w:hAnsi="Times New Roman" w:cs="Times New Roman"/>
          <w:i/>
          <w:sz w:val="24"/>
          <w:szCs w:val="24"/>
        </w:rPr>
        <w:t>t−1</w:t>
      </w:r>
      <w:r w:rsidRPr="007C7EED">
        <w:rPr>
          <w:rFonts w:ascii="Times New Roman" w:hAnsi="Times New Roman" w:cs="Times New Roman"/>
          <w:sz w:val="24"/>
          <w:szCs w:val="24"/>
        </w:rPr>
        <w:t xml:space="preserve"> and the logarithm of the long-run equilibrium demand in period </w:t>
      </w:r>
      <w:r w:rsidRPr="001D5988">
        <w:rPr>
          <w:rFonts w:ascii="Times New Roman" w:hAnsi="Times New Roman" w:cs="Times New Roman"/>
          <w:i/>
          <w:sz w:val="24"/>
          <w:szCs w:val="24"/>
        </w:rPr>
        <w:t>t</w:t>
      </w:r>
      <w:r w:rsidRPr="007C7EED">
        <w:rPr>
          <w:rFonts w:ascii="Times New Roman" w:hAnsi="Times New Roman" w:cs="Times New Roman"/>
          <w:sz w:val="24"/>
          <w:szCs w:val="24"/>
        </w:rPr>
        <w:t>. Formally,</w:t>
      </w:r>
    </w:p>
    <w:p w:rsidR="00F12E18" w:rsidRPr="007C7EED" w:rsidRDefault="006A66A5" w:rsidP="00F12E1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t-1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=λ(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bSup>
              <m:sSub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bSup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t-1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F12E18" w:rsidRPr="007C7EED">
        <w:rPr>
          <w:rFonts w:ascii="Times New Roman" w:hAnsi="Times New Roman" w:cs="Times New Roman"/>
          <w:sz w:val="24"/>
          <w:szCs w:val="24"/>
        </w:rPr>
        <w:t xml:space="preserve"> , where 0&lt;λ&lt;1</w:t>
      </w:r>
    </w:p>
    <w:p w:rsidR="00F12E18" w:rsidRPr="007C7EED" w:rsidRDefault="006A66A5" w:rsidP="00F12E1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t-1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=λ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+λ β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+λ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ln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-λ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t-1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12E18" w:rsidRPr="007C7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E18" w:rsidRPr="007C7EED" w:rsidRDefault="006A66A5" w:rsidP="00F12E18">
      <w:pPr>
        <w:spacing w:after="12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=λ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+λ β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+λ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ln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1-λ</m:t>
            </m:r>
          </m:e>
        </m:d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t-1</m:t>
                </m:r>
              </m:sub>
            </m:sSub>
          </m:e>
        </m:func>
      </m:oMath>
      <w:r w:rsidR="00F12E18" w:rsidRPr="007C7E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2E18" w:rsidRPr="007C7EED" w:rsidRDefault="00F12E18" w:rsidP="00F12E1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7C7EED">
        <w:rPr>
          <w:rFonts w:ascii="Times New Roman" w:hAnsi="Times New Roman" w:cs="Times New Roman"/>
          <w:sz w:val="24"/>
          <w:szCs w:val="24"/>
        </w:rPr>
        <w:t xml:space="preserve"> = reflects the current </w:t>
      </w:r>
      <w:r>
        <w:rPr>
          <w:rFonts w:ascii="Times New Roman" w:hAnsi="Times New Roman" w:cs="Times New Roman"/>
          <w:sz w:val="24"/>
          <w:szCs w:val="24"/>
        </w:rPr>
        <w:t xml:space="preserve">elasticities and </w:t>
      </w:r>
      <w:r w:rsidRPr="007C7EED">
        <w:rPr>
          <w:rFonts w:ascii="Times New Roman" w:hAnsi="Times New Roman" w:cs="Times New Roman"/>
          <w:sz w:val="24"/>
          <w:szCs w:val="24"/>
        </w:rPr>
        <w:t xml:space="preserve">adjusts partially to changes in the desired (LR) </w:t>
      </w:r>
      <w:r>
        <w:rPr>
          <w:rFonts w:ascii="Times New Roman" w:hAnsi="Times New Roman" w:cs="Times New Roman"/>
          <w:sz w:val="24"/>
          <w:szCs w:val="24"/>
        </w:rPr>
        <w:t>estimates</w:t>
      </w:r>
      <w:r w:rsidRPr="007C7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Therefore, we can interpret as follows,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2E18" w:rsidRPr="007C7EED" w:rsidRDefault="00F12E18" w:rsidP="00F12E18">
      <w:pPr>
        <w:pStyle w:val="ListParagraph"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EED">
        <w:rPr>
          <w:rFonts w:ascii="Times New Roman" w:hAnsi="Times New Roman" w:cs="Times New Roman"/>
          <w:bCs/>
          <w:sz w:val="24"/>
          <w:szCs w:val="24"/>
        </w:rPr>
        <w:t xml:space="preserve">SR elasticities = LR elasticities (β or </w:t>
      </w:r>
      <w:r w:rsidRPr="007C7EED"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Pr="007C7EED">
        <w:rPr>
          <w:rFonts w:ascii="Times New Roman" w:hAnsi="Times New Roman" w:cs="Times New Roman"/>
          <w:bCs/>
          <w:sz w:val="24"/>
          <w:szCs w:val="24"/>
        </w:rPr>
        <w:t>) * adjustment factor (λ) = the estimates (λβ or λ</w:t>
      </w:r>
      <w:r w:rsidRPr="007C7EED">
        <w:rPr>
          <w:rFonts w:ascii="Times New Roman" w:hAnsi="Times New Roman" w:cs="Times New Roman"/>
          <w:b/>
          <w:bCs/>
          <w:sz w:val="24"/>
          <w:szCs w:val="24"/>
        </w:rPr>
        <w:t>γ</w:t>
      </w:r>
      <w:r>
        <w:rPr>
          <w:rFonts w:ascii="Times New Roman" w:hAnsi="Times New Roman" w:cs="Times New Roman"/>
          <w:bCs/>
          <w:sz w:val="24"/>
          <w:szCs w:val="24"/>
        </w:rPr>
        <w:t>) and</w:t>
      </w:r>
    </w:p>
    <w:p w:rsidR="00F12E18" w:rsidRPr="00877BEF" w:rsidRDefault="00F12E18" w:rsidP="00F12E18">
      <w:pPr>
        <w:pStyle w:val="ListParagraph"/>
        <w:numPr>
          <w:ilvl w:val="0"/>
          <w:numId w:val="2"/>
        </w:numPr>
        <w:spacing w:after="240" w:line="240" w:lineRule="auto"/>
        <w:ind w:left="426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EED">
        <w:rPr>
          <w:rFonts w:ascii="Times New Roman" w:hAnsi="Times New Roman" w:cs="Times New Roman"/>
          <w:bCs/>
          <w:sz w:val="24"/>
          <w:szCs w:val="24"/>
        </w:rPr>
        <w:t>LR elasticities = the estimates (λβ or λ</w:t>
      </w:r>
      <w:r w:rsidRPr="007C7EED"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Pr="007C7EED">
        <w:rPr>
          <w:rFonts w:ascii="Times New Roman" w:hAnsi="Times New Roman" w:cs="Times New Roman"/>
          <w:bCs/>
          <w:sz w:val="24"/>
          <w:szCs w:val="24"/>
        </w:rPr>
        <w:t>) / (1 – λ)</w:t>
      </w:r>
    </w:p>
    <w:p w:rsidR="00E44C6D" w:rsidRDefault="00E44C6D" w:rsidP="00DB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E44C6D" w:rsidRDefault="00E44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E44C6D" w:rsidRPr="00F548EA" w:rsidRDefault="00E44C6D">
      <w:pPr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1" w:name="_GoBack"/>
      <w:bookmarkEnd w:id="1"/>
    </w:p>
    <w:sectPr w:rsidR="00E44C6D" w:rsidRPr="00F548EA" w:rsidSect="002D406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A5" w:rsidRDefault="006A66A5" w:rsidP="00C64726">
      <w:pPr>
        <w:spacing w:after="0" w:line="240" w:lineRule="auto"/>
      </w:pPr>
      <w:r>
        <w:separator/>
      </w:r>
    </w:p>
  </w:endnote>
  <w:endnote w:type="continuationSeparator" w:id="0">
    <w:p w:rsidR="006A66A5" w:rsidRDefault="006A66A5" w:rsidP="00C6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A5" w:rsidRDefault="006A66A5" w:rsidP="00C64726">
      <w:pPr>
        <w:spacing w:after="0" w:line="240" w:lineRule="auto"/>
      </w:pPr>
      <w:r>
        <w:separator/>
      </w:r>
    </w:p>
  </w:footnote>
  <w:footnote w:type="continuationSeparator" w:id="0">
    <w:p w:rsidR="006A66A5" w:rsidRDefault="006A66A5" w:rsidP="00C6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94"/>
    <w:multiLevelType w:val="hybridMultilevel"/>
    <w:tmpl w:val="BC5224D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785F94"/>
    <w:multiLevelType w:val="hybridMultilevel"/>
    <w:tmpl w:val="48148E56"/>
    <w:lvl w:ilvl="0" w:tplc="28E2D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1B03"/>
    <w:multiLevelType w:val="hybridMultilevel"/>
    <w:tmpl w:val="5970B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768A8"/>
    <w:multiLevelType w:val="hybridMultilevel"/>
    <w:tmpl w:val="A61AC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6E72"/>
    <w:multiLevelType w:val="hybridMultilevel"/>
    <w:tmpl w:val="7A6E5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5144"/>
    <w:multiLevelType w:val="hybridMultilevel"/>
    <w:tmpl w:val="ABB24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0C69"/>
    <w:multiLevelType w:val="hybridMultilevel"/>
    <w:tmpl w:val="A1F22D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E2D3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734AE"/>
    <w:multiLevelType w:val="hybridMultilevel"/>
    <w:tmpl w:val="F088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4ED2"/>
    <w:multiLevelType w:val="hybridMultilevel"/>
    <w:tmpl w:val="969A0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4F"/>
    <w:rsid w:val="00012CA8"/>
    <w:rsid w:val="000307F3"/>
    <w:rsid w:val="00044BD4"/>
    <w:rsid w:val="0006617D"/>
    <w:rsid w:val="00084C85"/>
    <w:rsid w:val="0014486A"/>
    <w:rsid w:val="001504DE"/>
    <w:rsid w:val="001964EC"/>
    <w:rsid w:val="00282A17"/>
    <w:rsid w:val="002A2327"/>
    <w:rsid w:val="002B3289"/>
    <w:rsid w:val="002D406F"/>
    <w:rsid w:val="003E152B"/>
    <w:rsid w:val="00402A51"/>
    <w:rsid w:val="004561FD"/>
    <w:rsid w:val="004B4087"/>
    <w:rsid w:val="004F6E0E"/>
    <w:rsid w:val="00530174"/>
    <w:rsid w:val="005339FE"/>
    <w:rsid w:val="00561A84"/>
    <w:rsid w:val="00595C92"/>
    <w:rsid w:val="00662EA8"/>
    <w:rsid w:val="0068319C"/>
    <w:rsid w:val="006A66A5"/>
    <w:rsid w:val="006A68B0"/>
    <w:rsid w:val="006B01B9"/>
    <w:rsid w:val="006D4781"/>
    <w:rsid w:val="006F2A33"/>
    <w:rsid w:val="0074238B"/>
    <w:rsid w:val="0076240A"/>
    <w:rsid w:val="007C2CD5"/>
    <w:rsid w:val="007E61E7"/>
    <w:rsid w:val="00815109"/>
    <w:rsid w:val="00855B4F"/>
    <w:rsid w:val="00893D87"/>
    <w:rsid w:val="008E553F"/>
    <w:rsid w:val="008E6B76"/>
    <w:rsid w:val="008F24F6"/>
    <w:rsid w:val="009B79E1"/>
    <w:rsid w:val="009C32FE"/>
    <w:rsid w:val="009F12A3"/>
    <w:rsid w:val="00A2641D"/>
    <w:rsid w:val="00AE63D7"/>
    <w:rsid w:val="00B01832"/>
    <w:rsid w:val="00B37445"/>
    <w:rsid w:val="00B45263"/>
    <w:rsid w:val="00BC7594"/>
    <w:rsid w:val="00BF0DA9"/>
    <w:rsid w:val="00C01FFE"/>
    <w:rsid w:val="00C31E33"/>
    <w:rsid w:val="00C64726"/>
    <w:rsid w:val="00CD0A12"/>
    <w:rsid w:val="00D11DEA"/>
    <w:rsid w:val="00DB5D9B"/>
    <w:rsid w:val="00DD348F"/>
    <w:rsid w:val="00E44C6D"/>
    <w:rsid w:val="00E450D8"/>
    <w:rsid w:val="00E52D42"/>
    <w:rsid w:val="00E57CA3"/>
    <w:rsid w:val="00E95E55"/>
    <w:rsid w:val="00E973D3"/>
    <w:rsid w:val="00EA2B35"/>
    <w:rsid w:val="00EB002F"/>
    <w:rsid w:val="00F04552"/>
    <w:rsid w:val="00F12E18"/>
    <w:rsid w:val="00F25FB3"/>
    <w:rsid w:val="00F26F04"/>
    <w:rsid w:val="00F32520"/>
    <w:rsid w:val="00F548EA"/>
    <w:rsid w:val="00F70387"/>
    <w:rsid w:val="00F71A11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9"/>
  </w:style>
  <w:style w:type="paragraph" w:styleId="Heading1">
    <w:name w:val="heading 1"/>
    <w:basedOn w:val="Normal"/>
    <w:next w:val="BodyText"/>
    <w:link w:val="Heading1Char"/>
    <w:qFormat/>
    <w:rsid w:val="00C64726"/>
    <w:pPr>
      <w:keepNext/>
      <w:spacing w:before="360" w:after="240" w:line="240" w:lineRule="auto"/>
      <w:jc w:val="center"/>
      <w:outlineLvl w:val="0"/>
    </w:pPr>
    <w:rPr>
      <w:rFonts w:ascii="Times New Roman" w:eastAsia="MS Mincho" w:hAnsi="Times New Roman" w:cs="Arial"/>
      <w:b/>
      <w:bCs/>
      <w:caps/>
      <w:kern w:val="3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151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64726"/>
    <w:rPr>
      <w:rFonts w:ascii="Times New Roman" w:eastAsia="MS Mincho" w:hAnsi="Times New Roman" w:cs="Arial"/>
      <w:b/>
      <w:bCs/>
      <w:caps/>
      <w:kern w:val="32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7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726"/>
  </w:style>
  <w:style w:type="paragraph" w:styleId="FootnoteText">
    <w:name w:val="footnote text"/>
    <w:basedOn w:val="Normal"/>
    <w:link w:val="FootnoteTextChar"/>
    <w:uiPriority w:val="99"/>
    <w:semiHidden/>
    <w:unhideWhenUsed/>
    <w:rsid w:val="00C6472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726"/>
    <w:rPr>
      <w:rFonts w:eastAsiaTheme="minorEastAsia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64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4C6D"/>
    <w:pPr>
      <w:ind w:left="720"/>
      <w:contextualSpacing/>
    </w:pPr>
  </w:style>
  <w:style w:type="paragraph" w:customStyle="1" w:styleId="ReferencesBibliography">
    <w:name w:val="References/Bibliography"/>
    <w:basedOn w:val="Normal"/>
    <w:rsid w:val="00F12E18"/>
    <w:pPr>
      <w:spacing w:after="0" w:line="480" w:lineRule="auto"/>
      <w:ind w:left="561" w:hanging="561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18"/>
  </w:style>
  <w:style w:type="paragraph" w:styleId="Footer">
    <w:name w:val="footer"/>
    <w:basedOn w:val="Normal"/>
    <w:link w:val="FooterChar"/>
    <w:uiPriority w:val="99"/>
    <w:unhideWhenUsed/>
    <w:rsid w:val="00F1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9"/>
  </w:style>
  <w:style w:type="paragraph" w:styleId="Heading1">
    <w:name w:val="heading 1"/>
    <w:basedOn w:val="Normal"/>
    <w:next w:val="BodyText"/>
    <w:link w:val="Heading1Char"/>
    <w:qFormat/>
    <w:rsid w:val="00C64726"/>
    <w:pPr>
      <w:keepNext/>
      <w:spacing w:before="360" w:after="240" w:line="240" w:lineRule="auto"/>
      <w:jc w:val="center"/>
      <w:outlineLvl w:val="0"/>
    </w:pPr>
    <w:rPr>
      <w:rFonts w:ascii="Times New Roman" w:eastAsia="MS Mincho" w:hAnsi="Times New Roman" w:cs="Arial"/>
      <w:b/>
      <w:bCs/>
      <w:caps/>
      <w:kern w:val="3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151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64726"/>
    <w:rPr>
      <w:rFonts w:ascii="Times New Roman" w:eastAsia="MS Mincho" w:hAnsi="Times New Roman" w:cs="Arial"/>
      <w:b/>
      <w:bCs/>
      <w:caps/>
      <w:kern w:val="32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7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726"/>
  </w:style>
  <w:style w:type="paragraph" w:styleId="FootnoteText">
    <w:name w:val="footnote text"/>
    <w:basedOn w:val="Normal"/>
    <w:link w:val="FootnoteTextChar"/>
    <w:uiPriority w:val="99"/>
    <w:semiHidden/>
    <w:unhideWhenUsed/>
    <w:rsid w:val="00C6472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726"/>
    <w:rPr>
      <w:rFonts w:eastAsiaTheme="minorEastAsia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64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4C6D"/>
    <w:pPr>
      <w:ind w:left="720"/>
      <w:contextualSpacing/>
    </w:pPr>
  </w:style>
  <w:style w:type="paragraph" w:customStyle="1" w:styleId="ReferencesBibliography">
    <w:name w:val="References/Bibliography"/>
    <w:basedOn w:val="Normal"/>
    <w:rsid w:val="00F12E18"/>
    <w:pPr>
      <w:spacing w:after="0" w:line="480" w:lineRule="auto"/>
      <w:ind w:left="561" w:hanging="561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18"/>
  </w:style>
  <w:style w:type="paragraph" w:styleId="Footer">
    <w:name w:val="footer"/>
    <w:basedOn w:val="Normal"/>
    <w:link w:val="FooterChar"/>
    <w:uiPriority w:val="99"/>
    <w:unhideWhenUsed/>
    <w:rsid w:val="00F1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41BAF-EA30-4AE1-B3C0-1061A69C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4</cp:revision>
  <cp:lastPrinted>2015-01-07T05:23:00Z</cp:lastPrinted>
  <dcterms:created xsi:type="dcterms:W3CDTF">2018-02-28T03:01:00Z</dcterms:created>
  <dcterms:modified xsi:type="dcterms:W3CDTF">2018-02-28T03:05:00Z</dcterms:modified>
</cp:coreProperties>
</file>